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lang w:eastAsia="zh-CN"/>
        </w:rPr>
      </w:pPr>
      <w:bookmarkStart w:id="0" w:name="_GoBack"/>
      <w:r>
        <w:t>亚甲基蓝，三水</w:t>
      </w:r>
      <w:r>
        <w:rPr>
          <w:rFonts w:hint="eastAsia"/>
          <w:lang w:eastAsia="zh-CN"/>
        </w:rPr>
        <w:t>说明书</w:t>
      </w:r>
    </w:p>
    <w:bookmarkEnd w:id="0"/>
    <w:p>
      <w:pPr>
        <w:pStyle w:val="3"/>
        <w:spacing w:before="0"/>
      </w:pPr>
      <w:r>
        <w:t>1.化学品及企业标识</w:t>
      </w:r>
    </w:p>
    <w:p>
      <w:pPr>
        <w:pStyle w:val="3"/>
      </w:pPr>
      <w:r>
        <w:t>中文名：亚甲基蓝，三水</w:t>
      </w:r>
    </w:p>
    <w:p>
      <w:pPr>
        <w:pStyle w:val="3"/>
        <w:spacing w:before="40"/>
      </w:pPr>
      <w:r>
        <w:rPr>
          <w:w w:val="95"/>
        </w:rPr>
        <w:t>英文名：Methylene blue trihydrate</w:t>
      </w:r>
    </w:p>
    <w:p>
      <w:pPr>
        <w:pStyle w:val="3"/>
      </w:pPr>
      <w:r>
        <w:t>中文别名：亚甲基蓝，三水；碱性蓝 9</w:t>
      </w:r>
    </w:p>
    <w:p>
      <w:pPr>
        <w:pStyle w:val="3"/>
        <w:spacing w:before="40" w:line="280" w:lineRule="auto"/>
        <w:ind w:right="5053"/>
      </w:pPr>
      <w:r>
        <w:rPr>
          <w:w w:val="85"/>
        </w:rPr>
        <w:t>英文别名：Methylene</w:t>
      </w:r>
      <w:r>
        <w:rPr>
          <w:spacing w:val="-26"/>
          <w:w w:val="85"/>
        </w:rPr>
        <w:t xml:space="preserve"> </w:t>
      </w:r>
      <w:r>
        <w:rPr>
          <w:w w:val="85"/>
        </w:rPr>
        <w:t>blue</w:t>
      </w:r>
      <w:r>
        <w:rPr>
          <w:spacing w:val="-26"/>
          <w:w w:val="85"/>
        </w:rPr>
        <w:t xml:space="preserve"> </w:t>
      </w:r>
      <w:r>
        <w:rPr>
          <w:w w:val="85"/>
        </w:rPr>
        <w:t>trihydrate;Methylthioninium</w:t>
      </w:r>
      <w:r>
        <w:rPr>
          <w:spacing w:val="-26"/>
          <w:w w:val="85"/>
        </w:rPr>
        <w:t xml:space="preserve"> </w:t>
      </w:r>
      <w:r>
        <w:rPr>
          <w:w w:val="85"/>
        </w:rPr>
        <w:t>chloride;Basic</w:t>
      </w:r>
      <w:r>
        <w:rPr>
          <w:spacing w:val="-26"/>
          <w:w w:val="85"/>
        </w:rPr>
        <w:t xml:space="preserve"> </w:t>
      </w:r>
      <w:r>
        <w:rPr>
          <w:w w:val="85"/>
        </w:rPr>
        <w:t>Blue</w:t>
      </w:r>
      <w:r>
        <w:rPr>
          <w:spacing w:val="-26"/>
          <w:w w:val="85"/>
        </w:rPr>
        <w:t xml:space="preserve"> </w:t>
      </w:r>
      <w:r>
        <w:rPr>
          <w:spacing w:val="-18"/>
          <w:w w:val="85"/>
        </w:rPr>
        <w:t xml:space="preserve">9 </w:t>
      </w:r>
      <w:r>
        <w:t>推荐用途：实验室用化验、试验及科学实验。</w:t>
      </w:r>
    </w:p>
    <w:p>
      <w:pPr>
        <w:pStyle w:val="3"/>
        <w:spacing w:before="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1"/>
      </w:pPr>
      <w:r>
        <w:t>邮编：200002</w:t>
      </w:r>
    </w:p>
    <w:p>
      <w:pPr>
        <w:pStyle w:val="3"/>
      </w:pPr>
      <w:r>
        <w:t>传真：86-021-63214037</w:t>
      </w:r>
    </w:p>
    <w:p>
      <w:pPr>
        <w:pStyle w:val="3"/>
      </w:pPr>
      <w:r>
        <w:t>应急电话：86-021-62679090</w:t>
      </w:r>
    </w:p>
    <w:p>
      <w:pPr>
        <w:pStyle w:val="3"/>
        <w:spacing w:before="40"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0" w:line="220" w:lineRule="exact"/>
      </w:pPr>
      <w:r>
        <w:t>安全技术说明书编码：SCRC CSDS7220-79-3 亚甲基蓝，三水</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before="40" w:line="280" w:lineRule="auto"/>
        <w:ind w:right="214"/>
      </w:pPr>
      <w:r>
        <w:rPr>
          <w:w w:val="98"/>
        </w:rPr>
        <w:t xml:space="preserve"> </w:t>
      </w:r>
      <w:r>
        <w:rPr>
          <w:w w:val="95"/>
        </w:rPr>
        <w:t>2.1   紧急情况概述：深绿色粉末。吞咽有害。造成皮肤刺激。造成严重眼刺激。可能引起呼吸道刺激。过量接触需采取特殊急救措施</w:t>
      </w:r>
      <w:r>
        <w:t>和进行医疗随访。用水雾、耐醇泡沫、干粉或二氧化碳灭火。如必要的话,戴自给式呼吸器去救火。</w:t>
      </w:r>
    </w:p>
    <w:p>
      <w:pPr>
        <w:pStyle w:val="3"/>
        <w:spacing w:before="0"/>
      </w:pPr>
      <w:r>
        <w:rPr>
          <w:w w:val="98"/>
        </w:rPr>
        <w:t xml:space="preserve"> </w:t>
      </w:r>
      <w:r>
        <w:t>2.2 GHS危险性分类：急性毒性,经口（类别4）皮肤刺激（类别2）眼刺激（类别2A）特异性靶器官系统毒性（一次接触）（类别3）</w:t>
      </w:r>
    </w:p>
    <w:p>
      <w:pPr>
        <w:pStyle w:val="3"/>
      </w:pPr>
      <w:r>
        <w:rPr>
          <w:w w:val="97"/>
        </w:rPr>
        <w:t xml:space="preserve"> </w:t>
      </w:r>
      <w:r>
        <w:t>2.3 GHS标记要素，包括预防性的陈述：</w:t>
      </w:r>
    </w:p>
    <w:p>
      <w:pPr>
        <w:pStyle w:val="3"/>
        <w:spacing w:before="40"/>
      </w:pPr>
      <w:r>
        <w:drawing>
          <wp:anchor distT="0" distB="0" distL="0" distR="0" simplePos="0" relativeHeight="251659264" behindDoc="0" locked="0" layoutInCell="1" allowOverlap="1">
            <wp:simplePos x="0" y="0"/>
            <wp:positionH relativeFrom="page">
              <wp:posOffset>457200</wp:posOffset>
            </wp:positionH>
            <wp:positionV relativeFrom="paragraph">
              <wp:posOffset>190500</wp:posOffset>
            </wp:positionV>
            <wp:extent cx="762000" cy="762000"/>
            <wp:effectExtent l="0" t="0" r="0" b="0"/>
            <wp:wrapTopAndBottom/>
            <wp:docPr id="135"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5.jpeg"/>
                    <pic:cNvPicPr>
                      <a:picLocks noChangeAspect="1"/>
                    </pic:cNvPicPr>
                  </pic:nvPicPr>
                  <pic:blipFill>
                    <a:blip r:embed="rId6"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警示词：警告</w:t>
      </w:r>
    </w:p>
    <w:p>
      <w:pPr>
        <w:pStyle w:val="3"/>
      </w:pPr>
      <w:r>
        <w:rPr>
          <w:w w:val="99"/>
        </w:rPr>
        <w:t xml:space="preserve"> </w:t>
      </w:r>
      <w:r>
        <w:t>危险信息：吞咽有害。造成皮肤刺激。造成严重眼刺激。可能引起呼吸道刺激。</w:t>
      </w:r>
    </w:p>
    <w:p>
      <w:pPr>
        <w:pStyle w:val="3"/>
        <w:spacing w:line="280" w:lineRule="auto"/>
        <w:ind w:right="160"/>
      </w:pPr>
      <w:r>
        <w:rPr>
          <w:w w:val="98"/>
        </w:rPr>
        <w:t xml:space="preserve"> </w:t>
      </w:r>
      <w:r>
        <w:rPr>
          <w:w w:val="95"/>
        </w:rPr>
        <w:t>预防措施：避免吸入粉尘/烟/气体/烟雾/蒸气/</w:t>
      </w:r>
      <w:r>
        <w:rPr>
          <w:spacing w:val="-1"/>
          <w:w w:val="95"/>
        </w:rPr>
        <w:t xml:space="preserve">喷雾。操作后彻底清洁皮肤。使用本产品时不要进食、饮水或吸烟。只能在室外或通风   </w:t>
      </w:r>
      <w:r>
        <w:t>良好之处使用。穿戴防护手套/眼保护罩/面部保护罩。</w:t>
      </w:r>
    </w:p>
    <w:p>
      <w:pPr>
        <w:pStyle w:val="3"/>
        <w:spacing w:before="1" w:line="280" w:lineRule="auto"/>
        <w:ind w:right="139"/>
      </w:pPr>
      <w:r>
        <w:rPr>
          <w:w w:val="99"/>
        </w:rPr>
        <w:t xml:space="preserve"> </w:t>
      </w:r>
      <w:r>
        <w:rPr>
          <w:w w:val="95"/>
        </w:rPr>
        <w:t xml:space="preserve">事故响应：如果吞下去了:如感觉不适，呼救解毒中心或看医生。如与皮肤接触，用大量肥皂和水冲洗受感染部位。如吸入，将患者    </w:t>
      </w:r>
      <w:r>
        <w:rPr>
          <w:spacing w:val="-1"/>
        </w:rPr>
        <w:t>移至新鲜空气处并保持呼吸顺畅的姿势休息。如与眼睛接触，用水缓慢温和地冲洗几分钟。如戴隐形眼镜并可方便地取出，取出隐形</w:t>
      </w:r>
      <w:r>
        <w:rPr>
          <w:w w:val="95"/>
        </w:rPr>
        <w:t xml:space="preserve">眼镜，然后继续冲洗。如感觉不适，呼救中毒控制中心或医生。具体治疗(见本标签上提供的急救指导)。漱口。如发生皮肤刺激：求     </w:t>
      </w:r>
      <w:r>
        <w:t>医/就诊。如仍觉眼睛刺激：求医/就诊。如仍觉眼睛刺激：求医/就诊。脱掉沾染的衣服，清洗后方可重新使用。</w:t>
      </w:r>
    </w:p>
    <w:p>
      <w:pPr>
        <w:pStyle w:val="3"/>
        <w:spacing w:before="0"/>
      </w:pPr>
      <w:r>
        <w:rPr>
          <w:w w:val="99"/>
        </w:rPr>
        <w:t xml:space="preserve"> </w:t>
      </w:r>
      <w:r>
        <w:t>安全存储：存放于通风良好的地方。保持容器密闭。存放处须加锁。</w:t>
      </w:r>
    </w:p>
    <w:p>
      <w:pPr>
        <w:pStyle w:val="3"/>
        <w:spacing w:before="40"/>
      </w:pPr>
      <w:r>
        <w:rPr>
          <w:w w:val="96"/>
        </w:rPr>
        <w:t xml:space="preserve"> </w:t>
      </w:r>
      <w:r>
        <w:t>废弃处置：按照地方/区域/国家/国际规章处置内装物/容器。</w:t>
      </w:r>
    </w:p>
    <w:p>
      <w:pPr>
        <w:pStyle w:val="3"/>
      </w:pPr>
      <w:r>
        <w:rPr>
          <w:w w:val="94"/>
        </w:rPr>
        <w:t xml:space="preserve"> </w:t>
      </w:r>
      <w:r>
        <w:t>2.4 物理化学危险性信息：不适用</w:t>
      </w:r>
    </w:p>
    <w:p>
      <w:pPr>
        <w:pStyle w:val="3"/>
        <w:spacing w:before="40"/>
      </w:pPr>
      <w:r>
        <w:rPr>
          <w:w w:val="97"/>
        </w:rPr>
        <w:t xml:space="preserve"> </w:t>
      </w:r>
      <w:r>
        <w:t>2.5 健康危害：吞咽有害。造成皮肤刺激。造成严重眼刺激。可能引起呼吸道刺激。</w:t>
      </w:r>
    </w:p>
    <w:p>
      <w:pPr>
        <w:pStyle w:val="3"/>
      </w:pPr>
      <w:r>
        <w:rPr>
          <w:w w:val="91"/>
        </w:rPr>
        <w:t xml:space="preserve"> </w:t>
      </w:r>
      <w:r>
        <w:t>2.6 环境危害：不适用</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spacing w:before="40"/>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1"/>
        <w:ind w:left="140"/>
      </w:pPr>
      <w:r>
        <w:t>主要成分：亚甲基蓝，三水</w:t>
      </w:r>
      <w:r>
        <w:tab/>
      </w:r>
      <w:r>
        <w:rPr>
          <w:w w:val="95"/>
        </w:rPr>
        <w:t>7220-79-3</w:t>
      </w:r>
      <w:r>
        <w:rPr>
          <w:w w:val="95"/>
        </w:rPr>
        <w:tab/>
      </w:r>
      <w:r>
        <w:t>≤100</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1"/>
        <w:ind w:left="140"/>
      </w:pPr>
      <w:r>
        <w:t>次要成分：</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pPr>
      <w:r>
        <w:rPr>
          <w:w w:val="92"/>
        </w:rPr>
        <w:t xml:space="preserve"> </w:t>
      </w:r>
      <w:r>
        <w:t>4.1 必要的急救措施描述：</w:t>
      </w:r>
    </w:p>
    <w:p>
      <w:pPr>
        <w:pStyle w:val="3"/>
        <w:spacing w:before="40"/>
      </w:pPr>
      <w:r>
        <w:rPr>
          <w:w w:val="95"/>
        </w:rPr>
        <w:t xml:space="preserve">     </w:t>
      </w:r>
      <w:r>
        <w:t>吸入：如果吸入,请将患者移到新鲜空气处。如呼吸停止，进行人工呼吸。请教医生。</w:t>
      </w:r>
    </w:p>
    <w:p>
      <w:pPr>
        <w:pStyle w:val="3"/>
      </w:pPr>
      <w:r>
        <w:rPr>
          <w:w w:val="93"/>
        </w:rPr>
        <w:t xml:space="preserve">     </w:t>
      </w:r>
      <w:r>
        <w:t>皮肤接触：用肥皂和大量的水冲洗。请教医生。</w:t>
      </w:r>
    </w:p>
    <w:p>
      <w:pPr>
        <w:spacing w:after="0"/>
        <w:sectPr>
          <w:pgSz w:w="11900" w:h="16840"/>
          <w:pgMar w:top="760" w:right="600" w:bottom="700" w:left="620" w:header="0" w:footer="509" w:gutter="0"/>
          <w:cols w:space="720" w:num="1"/>
        </w:sectPr>
      </w:pPr>
    </w:p>
    <w:p>
      <w:pPr>
        <w:pStyle w:val="3"/>
        <w:spacing w:before="50"/>
      </w:pPr>
      <w:r>
        <w:rPr>
          <w:w w:val="94"/>
        </w:rPr>
        <w:t xml:space="preserve">     </w:t>
      </w:r>
      <w:r>
        <w:t>眼睛接触：用大量水彻底冲洗至少15分钟并请教医生。</w:t>
      </w:r>
    </w:p>
    <w:p>
      <w:pPr>
        <w:pStyle w:val="3"/>
      </w:pPr>
      <w:r>
        <w:rPr>
          <w:w w:val="95"/>
        </w:rPr>
        <w:t xml:space="preserve">     </w:t>
      </w:r>
      <w:r>
        <w:t>食入：切勿给失去知觉者从嘴里喂食任何东西。用水漱口。请教医生。</w:t>
      </w:r>
    </w:p>
    <w:p>
      <w:pPr>
        <w:pStyle w:val="3"/>
      </w:pPr>
      <w:r>
        <w:rPr>
          <w:w w:val="95"/>
        </w:rPr>
        <w:t xml:space="preserve"> </w:t>
      </w:r>
      <w:r>
        <w:t>4.2 主要症状和影响，急性和迟发效应：无资料</w:t>
      </w:r>
    </w:p>
    <w:p>
      <w:pPr>
        <w:pStyle w:val="3"/>
        <w:spacing w:before="40"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pPr>
      <w:r>
        <w:rPr>
          <w:w w:val="93"/>
        </w:rPr>
        <w:t xml:space="preserve"> </w:t>
      </w:r>
      <w:r>
        <w:t>5.1 特别危险性描述：无资料</w:t>
      </w:r>
    </w:p>
    <w:p>
      <w:pPr>
        <w:pStyle w:val="3"/>
        <w:spacing w:before="40"/>
      </w:pPr>
      <w:r>
        <w:rPr>
          <w:w w:val="96"/>
        </w:rPr>
        <w:t xml:space="preserve"> </w:t>
      </w:r>
      <w:r>
        <w:t>5.2 灭火方法或灭火剂：用水雾、耐醇泡沫、干粉或二氧化碳灭火。</w:t>
      </w:r>
    </w:p>
    <w:p>
      <w:pPr>
        <w:pStyle w:val="3"/>
        <w:spacing w:line="220" w:lineRule="exact"/>
      </w:pPr>
      <w:r>
        <w:rPr>
          <w:w w:val="95"/>
        </w:rPr>
        <w:t xml:space="preserve"> </w:t>
      </w:r>
      <w:r>
        <w:t>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line="280" w:lineRule="auto"/>
        <w:ind w:right="214"/>
      </w:pPr>
      <w:r>
        <w:rPr>
          <w:w w:val="98"/>
        </w:rPr>
        <w:t xml:space="preserve"> </w:t>
      </w:r>
      <w:r>
        <w:rPr>
          <w:w w:val="95"/>
        </w:rPr>
        <w:t>6.1   作业人员的防护措施、防护设备和应急处置程序：使用个人防护用品。避免粉尘生成。避免吸入蒸气、烟雾或气体。保证充分的</w:t>
      </w:r>
      <w:r>
        <w:t>通风。人员疏散到安全区域。避免吸入粉尘。</w:t>
      </w:r>
    </w:p>
    <w:p>
      <w:pPr>
        <w:pStyle w:val="3"/>
        <w:spacing w:before="1"/>
      </w:pPr>
      <w:r>
        <w:rPr>
          <w:w w:val="98"/>
        </w:rPr>
        <w:t xml:space="preserve"> </w:t>
      </w:r>
      <w:r>
        <w:t>6.2 环境保护措施：如能确保安全，可采取措施防止进一步的泄漏或溢出。不要让产品进入下水道。避免排放到周围环境中。</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line="280" w:lineRule="auto"/>
        <w:ind w:right="114"/>
      </w:pPr>
      <w:r>
        <w:rPr>
          <w:w w:val="97"/>
        </w:rPr>
        <w:t xml:space="preserve"> </w:t>
      </w:r>
      <w:r>
        <w:rPr>
          <w:w w:val="95"/>
        </w:rPr>
        <w:t>7.1   安全处置注意事项：避免接触皮肤和眼睛。防止粉尘和气溶胶生成。在有粉尘生成的地方,提供合适的排风设备。防止吸入蒸汽和</w:t>
      </w:r>
      <w:r>
        <w:t>烟雾。切勿靠近火源。－严禁烟火。采取措施防止静电积聚。</w:t>
      </w:r>
    </w:p>
    <w:p>
      <w:pPr>
        <w:pStyle w:val="3"/>
        <w:spacing w:before="1"/>
      </w:pPr>
      <w:r>
        <w:rPr>
          <w:w w:val="97"/>
        </w:rPr>
        <w:t xml:space="preserve"> </w:t>
      </w:r>
      <w:r>
        <w:t>7.2 安全储存注意事项：贮存在阴凉处。容器保持紧闭，储存在干燥通风处。</w:t>
      </w:r>
    </w:p>
    <w:p>
      <w:pPr>
        <w:pStyle w:val="3"/>
        <w:spacing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pPr>
      <w:r>
        <w:rPr>
          <w:w w:val="93"/>
        </w:rPr>
        <w:t xml:space="preserve"> </w:t>
      </w:r>
      <w:r>
        <w:t>8.1 作业场所职业接触限值：</w:t>
      </w:r>
    </w:p>
    <w:p>
      <w:pPr>
        <w:pStyle w:val="3"/>
        <w:spacing w:before="40"/>
      </w:pPr>
      <w:r>
        <w:rPr>
          <w:w w:val="105"/>
        </w:rPr>
        <w:t xml:space="preserve"> MAC(mg/m3)：无资料</w:t>
      </w:r>
    </w:p>
    <w:p>
      <w:pPr>
        <w:pStyle w:val="3"/>
      </w:pPr>
      <w:r>
        <w:rPr>
          <w:w w:val="100"/>
        </w:rPr>
        <w:t xml:space="preserve"> </w:t>
      </w:r>
      <w:r>
        <w:t>PC-STEL(mg/m3)：无资料</w:t>
      </w:r>
    </w:p>
    <w:p>
      <w:pPr>
        <w:pStyle w:val="3"/>
      </w:pPr>
      <w:r>
        <w:rPr>
          <w:w w:val="106"/>
        </w:rPr>
        <w:t xml:space="preserve"> </w:t>
      </w:r>
      <w:r>
        <w:rPr>
          <w:w w:val="105"/>
        </w:rPr>
        <w:t>TLV-TWA(mg/m3)：无资料</w:t>
      </w:r>
    </w:p>
    <w:p>
      <w:pPr>
        <w:pStyle w:val="3"/>
        <w:spacing w:before="40"/>
      </w:pPr>
      <w:r>
        <w:rPr>
          <w:w w:val="105"/>
        </w:rPr>
        <w:t xml:space="preserve"> PC-TWA(mg/m3)：无资料</w:t>
      </w:r>
    </w:p>
    <w:p>
      <w:pPr>
        <w:pStyle w:val="3"/>
      </w:pPr>
      <w:r>
        <w:rPr>
          <w:w w:val="101"/>
        </w:rPr>
        <w:t xml:space="preserve"> </w:t>
      </w:r>
      <w:r>
        <w:t>TLV-C(mg/m3)：无资料</w:t>
      </w:r>
    </w:p>
    <w:p>
      <w:pPr>
        <w:pStyle w:val="3"/>
        <w:spacing w:before="40"/>
      </w:pPr>
      <w:r>
        <w:rPr>
          <w:w w:val="103"/>
        </w:rPr>
        <w:t xml:space="preserve"> </w:t>
      </w:r>
      <w:r>
        <w:rPr>
          <w:w w:val="105"/>
        </w:rPr>
        <w:t>TLV=STEL(mg/m3)：无资料</w:t>
      </w:r>
    </w:p>
    <w:p>
      <w:pPr>
        <w:pStyle w:val="3"/>
      </w:pPr>
      <w:r>
        <w:rPr>
          <w:w w:val="91"/>
        </w:rPr>
        <w:t xml:space="preserve"> </w:t>
      </w:r>
      <w:r>
        <w:t>8.2 检测方法：无资料</w:t>
      </w:r>
    </w:p>
    <w:p>
      <w:pPr>
        <w:pStyle w:val="3"/>
      </w:pPr>
      <w:r>
        <w:rPr>
          <w:w w:val="97"/>
        </w:rPr>
        <w:t xml:space="preserve"> </w:t>
      </w:r>
      <w:r>
        <w:t>8.3 工程控制：生产过程密闭，加强通风。提供安全淋浴和洗眼设备。</w:t>
      </w:r>
    </w:p>
    <w:p>
      <w:pPr>
        <w:pStyle w:val="3"/>
        <w:spacing w:before="40"/>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0"/>
      </w:pPr>
      <w:r>
        <w:rPr>
          <w:w w:val="89"/>
        </w:rPr>
        <w:t xml:space="preserve">     </w:t>
      </w:r>
      <w:r>
        <w:t>手防护：戴防化学品手套。</w:t>
      </w:r>
    </w:p>
    <w:p>
      <w:pPr>
        <w:pStyle w:val="3"/>
        <w:spacing w:before="40"/>
      </w:pPr>
      <w:r>
        <w:rPr>
          <w:w w:val="91"/>
        </w:rPr>
        <w:t xml:space="preserve">     </w:t>
      </w:r>
      <w:r>
        <w:t>眼睛防护：戴化学安全防护眼镜。</w:t>
      </w:r>
    </w:p>
    <w:p>
      <w:pPr>
        <w:pStyle w:val="3"/>
      </w:pPr>
      <w:r>
        <w:rPr>
          <w:w w:val="92"/>
        </w:rPr>
        <w:t xml:space="preserve">     </w:t>
      </w:r>
      <w:r>
        <w:t>皮肤和身体防护：穿化学品防护服。</w:t>
      </w:r>
    </w:p>
    <w:p>
      <w:pPr>
        <w:pStyle w:val="3"/>
        <w:spacing w:before="40"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9.理化特性</w:t>
      </w:r>
    </w:p>
    <w:p>
      <w:pPr>
        <w:spacing w:after="0"/>
        <w:sectPr>
          <w:pgSz w:w="11900" w:h="16840"/>
          <w:pgMar w:top="760" w:right="600" w:bottom="700" w:left="620" w:header="0" w:footer="509" w:gutter="0"/>
          <w:cols w:space="720" w:num="1"/>
        </w:sectPr>
      </w:pPr>
    </w:p>
    <w:p>
      <w:pPr>
        <w:pStyle w:val="3"/>
        <w:spacing w:before="47" w:line="205" w:lineRule="exact"/>
        <w:ind w:left="140"/>
      </w:pPr>
      <w:r>
        <w:t>外观与性状：暗绿色至蓝色结晶或粉末，带有青铜光泽，无气味或有轻微气味</w:t>
      </w:r>
    </w:p>
    <w:p>
      <w:pPr>
        <w:pStyle w:val="3"/>
        <w:spacing w:before="0" w:line="205" w:lineRule="exact"/>
        <w:ind w:left="140"/>
      </w:pPr>
      <w:r>
        <w:t>。</w:t>
      </w:r>
    </w:p>
    <w:p>
      <w:pPr>
        <w:pStyle w:val="3"/>
        <w:spacing w:before="47"/>
        <w:ind w:left="115"/>
      </w:pPr>
      <w:r>
        <w:br w:type="column"/>
      </w:r>
      <w:r>
        <w:t>气味：无气味或有轻微气味</w:t>
      </w:r>
    </w:p>
    <w:p>
      <w:pPr>
        <w:spacing w:after="0"/>
        <w:sectPr>
          <w:type w:val="continuous"/>
          <w:pgSz w:w="11900" w:h="16840"/>
          <w:pgMar w:top="1580" w:right="600" w:bottom="1180" w:left="620" w:header="720" w:footer="720" w:gutter="0"/>
          <w:cols w:equalWidth="0" w:num="2">
            <w:col w:w="6261" w:space="40"/>
            <w:col w:w="4379"/>
          </w:cols>
        </w:sectPr>
      </w:pPr>
    </w:p>
    <w:p>
      <w:pPr>
        <w:pStyle w:val="3"/>
        <w:tabs>
          <w:tab w:val="left" w:pos="6415"/>
        </w:tabs>
        <w:spacing w:before="8"/>
        <w:ind w:left="140"/>
      </w:pPr>
      <w:r>
        <w:t>气味阈值：无资料</w:t>
      </w:r>
      <w:r>
        <w:tab/>
      </w:r>
      <w:r>
        <w:t>pH：3(10g/L,H2O,20℃)</w:t>
      </w:r>
    </w:p>
    <w:p>
      <w:pPr>
        <w:pStyle w:val="3"/>
        <w:tabs>
          <w:tab w:val="left" w:pos="6415"/>
        </w:tabs>
        <w:spacing w:before="8"/>
        <w:ind w:left="140"/>
      </w:pPr>
      <w:r>
        <w:rPr>
          <w:w w:val="90"/>
        </w:rPr>
        <w:t>熔点/凝固点(℃)：180-190℃(dec.)</w:t>
      </w:r>
      <w:r>
        <w:rPr>
          <w:w w:val="90"/>
        </w:rPr>
        <w:tab/>
      </w:r>
      <w:r>
        <w:t>沸点、初沸点、沸程(℃)：无资料</w:t>
      </w:r>
    </w:p>
    <w:p>
      <w:pPr>
        <w:pStyle w:val="3"/>
        <w:tabs>
          <w:tab w:val="left" w:pos="6415"/>
        </w:tabs>
        <w:spacing w:before="8"/>
        <w:ind w:left="140"/>
      </w:pPr>
      <w:r>
        <w:t>密度/相对密度(水=1)：无资料</w:t>
      </w:r>
      <w:r>
        <w:tab/>
      </w:r>
      <w:r>
        <w:t>蒸汽密度(空气=1)：无资料</w:t>
      </w:r>
    </w:p>
    <w:p>
      <w:pPr>
        <w:pStyle w:val="3"/>
        <w:tabs>
          <w:tab w:val="left" w:pos="6415"/>
        </w:tabs>
        <w:spacing w:before="8"/>
        <w:ind w:left="140"/>
      </w:pPr>
      <w:r>
        <w:t>蒸汽压(kPa)：无资料</w:t>
      </w:r>
      <w:r>
        <w:tab/>
      </w:r>
      <w:r>
        <w:t>燃烧热(kJ/mol)：无资料</w:t>
      </w:r>
    </w:p>
    <w:p>
      <w:pPr>
        <w:pStyle w:val="3"/>
        <w:tabs>
          <w:tab w:val="left" w:pos="6415"/>
        </w:tabs>
        <w:spacing w:before="7"/>
        <w:ind w:left="140"/>
      </w:pPr>
      <w:r>
        <w:t>分解温度：无资料</w:t>
      </w:r>
      <w:r>
        <w:tab/>
      </w:r>
      <w:r>
        <w:t>临界压力：无资料</w:t>
      </w:r>
    </w:p>
    <w:p>
      <w:pPr>
        <w:pStyle w:val="3"/>
        <w:tabs>
          <w:tab w:val="left" w:pos="6415"/>
        </w:tabs>
        <w:spacing w:before="8"/>
        <w:ind w:left="140"/>
      </w:pPr>
      <w:r>
        <w:t>辛醇/水分配系数的对数值：无资料</w:t>
      </w:r>
      <w:r>
        <w:tab/>
      </w:r>
      <w:r>
        <w:rPr>
          <w:w w:val="95"/>
        </w:rPr>
        <w:t>闪点(℃)：无资料</w:t>
      </w:r>
    </w:p>
    <w:p>
      <w:pPr>
        <w:pStyle w:val="3"/>
        <w:tabs>
          <w:tab w:val="left" w:pos="6415"/>
        </w:tabs>
        <w:spacing w:before="8"/>
        <w:ind w:left="140"/>
      </w:pPr>
      <w:r>
        <w:t>自燃温度(℃)：无资料</w:t>
      </w:r>
      <w:r>
        <w:tab/>
      </w:r>
      <w:r>
        <w:t>爆炸上限%（V/V）：无资料</w:t>
      </w:r>
    </w:p>
    <w:p>
      <w:pPr>
        <w:spacing w:after="0"/>
        <w:sectPr>
          <w:type w:val="continuous"/>
          <w:pgSz w:w="11900" w:h="16840"/>
          <w:pgMar w:top="1580" w:right="600" w:bottom="1180" w:left="620" w:header="720" w:footer="720" w:gutter="0"/>
          <w:cols w:space="720" w:num="1"/>
        </w:sectPr>
      </w:pPr>
    </w:p>
    <w:p>
      <w:pPr>
        <w:pStyle w:val="3"/>
        <w:spacing w:before="47" w:line="187" w:lineRule="auto"/>
        <w:ind w:left="140"/>
      </w:pPr>
      <w:r>
        <w:t>溶解性：难溶于冷水及醇，加热则易于溶解，水溶液为天蓝色；溶于氯仿，不溶于乙醚和苯。</w:t>
      </w:r>
    </w:p>
    <w:p>
      <w:pPr>
        <w:pStyle w:val="3"/>
        <w:spacing w:before="8"/>
        <w:ind w:left="115"/>
      </w:pPr>
      <w:r>
        <w:br w:type="column"/>
      </w:r>
      <w:r>
        <w:rPr>
          <w:w w:val="105"/>
        </w:rPr>
        <w:t>爆炸下限%（V/V）：无资料</w:t>
      </w:r>
    </w:p>
    <w:p>
      <w:pPr>
        <w:spacing w:after="0"/>
        <w:sectPr>
          <w:type w:val="continuous"/>
          <w:pgSz w:w="11900" w:h="16840"/>
          <w:pgMar w:top="1580" w:right="600" w:bottom="1180" w:left="620" w:header="720" w:footer="720" w:gutter="0"/>
          <w:cols w:equalWidth="0" w:num="2">
            <w:col w:w="6261" w:space="40"/>
            <w:col w:w="4379"/>
          </w:cols>
        </w:sectPr>
      </w:pPr>
    </w:p>
    <w:p>
      <w:pPr>
        <w:pStyle w:val="3"/>
        <w:tabs>
          <w:tab w:val="left" w:pos="6415"/>
        </w:tabs>
        <w:spacing w:before="19"/>
        <w:ind w:left="140"/>
      </w:pPr>
      <w:r>
        <w:t>易燃性（固体、气体）：无资料</w:t>
      </w:r>
      <w:r>
        <w:tab/>
      </w:r>
      <w:r>
        <w:t>蒸发速率：无资料</w:t>
      </w:r>
    </w:p>
    <w:p>
      <w:pPr>
        <w:pStyle w:val="3"/>
        <w:spacing w:before="170"/>
      </w:pPr>
      <w:r>
        <w:rPr>
          <w:w w:val="95"/>
        </w:rPr>
        <w:t>10.稳定性和反应性</w:t>
      </w:r>
    </w:p>
    <w:p>
      <w:pPr>
        <w:pStyle w:val="3"/>
      </w:pPr>
      <w:r>
        <w:rPr>
          <w:w w:val="89"/>
        </w:rPr>
        <w:t xml:space="preserve"> </w:t>
      </w:r>
      <w:r>
        <w:rPr>
          <w:w w:val="90"/>
        </w:rPr>
        <w:t>10.1</w:t>
      </w:r>
      <w:r>
        <w:rPr>
          <w:spacing w:val="-3"/>
          <w:w w:val="90"/>
        </w:rPr>
        <w:t xml:space="preserve"> 稳定性：稳定</w:t>
      </w:r>
    </w:p>
    <w:p>
      <w:pPr>
        <w:pStyle w:val="3"/>
      </w:pPr>
      <w:r>
        <w:rPr>
          <w:w w:val="91"/>
        </w:rPr>
        <w:t xml:space="preserve"> </w:t>
      </w:r>
      <w:r>
        <w:t>10.2 危险反应：无资料</w:t>
      </w:r>
    </w:p>
    <w:p>
      <w:pPr>
        <w:pStyle w:val="3"/>
        <w:spacing w:before="40"/>
      </w:pPr>
      <w:r>
        <w:rPr>
          <w:w w:val="92"/>
        </w:rPr>
        <w:t xml:space="preserve"> </w:t>
      </w:r>
      <w:r>
        <w:rPr>
          <w:w w:val="95"/>
        </w:rPr>
        <w:t>10.3</w:t>
      </w:r>
      <w:r>
        <w:rPr>
          <w:spacing w:val="-8"/>
          <w:w w:val="95"/>
        </w:rPr>
        <w:t xml:space="preserve"> 应避免的条件：无资料</w:t>
      </w:r>
    </w:p>
    <w:p>
      <w:pPr>
        <w:pStyle w:val="3"/>
      </w:pPr>
      <w:r>
        <w:rPr>
          <w:w w:val="92"/>
        </w:rPr>
        <w:t xml:space="preserve"> </w:t>
      </w:r>
      <w:r>
        <w:rPr>
          <w:w w:val="95"/>
        </w:rPr>
        <w:t>10.4</w:t>
      </w:r>
      <w:r>
        <w:rPr>
          <w:spacing w:val="-8"/>
          <w:w w:val="95"/>
        </w:rPr>
        <w:t xml:space="preserve"> 不相容物质：强氧化剂</w:t>
      </w:r>
    </w:p>
    <w:p>
      <w:pPr>
        <w:pStyle w:val="3"/>
        <w:spacing w:before="40"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spacing w:after="0" w:line="67" w:lineRule="exact"/>
        <w:jc w:val="left"/>
        <w:rPr>
          <w:sz w:val="6"/>
        </w:rPr>
        <w:sectPr>
          <w:type w:val="continuous"/>
          <w:pgSz w:w="11900" w:h="16840"/>
          <w:pgMar w:top="1580" w:right="600" w:bottom="1180" w:left="620" w:header="720" w:footer="720" w:gutter="0"/>
          <w:cols w:space="720" w:num="1"/>
        </w:sectPr>
      </w:pPr>
    </w:p>
    <w:p>
      <w:pPr>
        <w:pStyle w:val="3"/>
        <w:spacing w:before="50"/>
        <w:jc w:val="both"/>
      </w:pPr>
      <w:r>
        <w:t>11.毒理学信息</w:t>
      </w:r>
    </w:p>
    <w:p>
      <w:pPr>
        <w:pStyle w:val="3"/>
        <w:jc w:val="both"/>
      </w:pPr>
      <w:r>
        <w:rPr>
          <w:w w:val="91"/>
        </w:rPr>
        <w:t xml:space="preserve"> </w:t>
      </w:r>
      <w:r>
        <w:t>11.1 急性毒性：无资料</w:t>
      </w:r>
    </w:p>
    <w:p>
      <w:pPr>
        <w:pStyle w:val="3"/>
        <w:jc w:val="both"/>
      </w:pPr>
      <w:r>
        <w:rPr>
          <w:w w:val="93"/>
        </w:rPr>
        <w:t xml:space="preserve"> </w:t>
      </w:r>
      <w:r>
        <w:rPr>
          <w:w w:val="95"/>
        </w:rPr>
        <w:t>11.2</w:t>
      </w:r>
      <w:r>
        <w:rPr>
          <w:spacing w:val="-7"/>
          <w:w w:val="95"/>
        </w:rPr>
        <w:t xml:space="preserve"> 皮肤刺激或腐蚀：无资料</w:t>
      </w:r>
    </w:p>
    <w:p>
      <w:pPr>
        <w:pStyle w:val="3"/>
        <w:spacing w:before="40"/>
        <w:jc w:val="both"/>
      </w:pPr>
      <w:r>
        <w:rPr>
          <w:w w:val="93"/>
        </w:rPr>
        <w:t xml:space="preserve"> </w:t>
      </w:r>
      <w:r>
        <w:rPr>
          <w:w w:val="95"/>
        </w:rPr>
        <w:t>11.3</w:t>
      </w:r>
      <w:r>
        <w:rPr>
          <w:spacing w:val="-7"/>
          <w:w w:val="95"/>
        </w:rPr>
        <w:t xml:space="preserve"> 眼睛刺激和腐蚀：无资料</w:t>
      </w:r>
    </w:p>
    <w:p>
      <w:pPr>
        <w:pStyle w:val="3"/>
        <w:jc w:val="both"/>
      </w:pPr>
      <w:r>
        <w:rPr>
          <w:w w:val="93"/>
        </w:rPr>
        <w:t xml:space="preserve"> </w:t>
      </w:r>
      <w:r>
        <w:rPr>
          <w:w w:val="95"/>
        </w:rPr>
        <w:t>11.4</w:t>
      </w:r>
      <w:r>
        <w:rPr>
          <w:spacing w:val="-7"/>
          <w:w w:val="95"/>
        </w:rPr>
        <w:t xml:space="preserve"> 呼吸或皮肤过敏：无资料</w:t>
      </w:r>
    </w:p>
    <w:p>
      <w:pPr>
        <w:pStyle w:val="3"/>
        <w:spacing w:before="40"/>
        <w:jc w:val="both"/>
      </w:pPr>
      <w:r>
        <w:rPr>
          <w:w w:val="93"/>
        </w:rPr>
        <w:t xml:space="preserve"> </w:t>
      </w:r>
      <w:r>
        <w:rPr>
          <w:w w:val="95"/>
        </w:rPr>
        <w:t>11.5</w:t>
      </w:r>
      <w:r>
        <w:rPr>
          <w:spacing w:val="-7"/>
          <w:w w:val="95"/>
        </w:rPr>
        <w:t xml:space="preserve"> 生殖细胞突变性：无资料</w:t>
      </w:r>
    </w:p>
    <w:p>
      <w:pPr>
        <w:pStyle w:val="3"/>
        <w:jc w:val="both"/>
      </w:pPr>
      <w:r>
        <w:rPr>
          <w:w w:val="90"/>
        </w:rPr>
        <w:t xml:space="preserve"> </w:t>
      </w:r>
      <w:r>
        <w:t>11.6 致癌性：无资料</w:t>
      </w:r>
    </w:p>
    <w:p>
      <w:pPr>
        <w:pStyle w:val="3"/>
        <w:jc w:val="both"/>
      </w:pPr>
      <w:r>
        <w:rPr>
          <w:w w:val="91"/>
        </w:rPr>
        <w:t xml:space="preserve"> </w:t>
      </w:r>
      <w:r>
        <w:t>11.7 生殖毒性：无资料</w:t>
      </w:r>
    </w:p>
    <w:p>
      <w:pPr>
        <w:pStyle w:val="3"/>
        <w:spacing w:before="40"/>
        <w:jc w:val="both"/>
      </w:pPr>
      <w:r>
        <w:rPr>
          <w:w w:val="95"/>
        </w:rPr>
        <w:t xml:space="preserve"> 11.8 特异性靶器官系统毒性（一次接触）：无资料</w:t>
      </w:r>
    </w:p>
    <w:p>
      <w:pPr>
        <w:pStyle w:val="3"/>
        <w:jc w:val="both"/>
      </w:pPr>
      <w:r>
        <w:rPr>
          <w:w w:val="95"/>
        </w:rPr>
        <w:t xml:space="preserve"> 11.9 特异性靶器官系统毒性（反复接触）：无资料</w:t>
      </w:r>
    </w:p>
    <w:p>
      <w:pPr>
        <w:pStyle w:val="3"/>
        <w:jc w:val="both"/>
      </w:pPr>
      <w:r>
        <w:rPr>
          <w:w w:val="91"/>
        </w:rPr>
        <w:t xml:space="preserve"> </w:t>
      </w:r>
      <w:r>
        <w:rPr>
          <w:w w:val="90"/>
        </w:rPr>
        <w:t>11.10 吸入危险：无资料</w:t>
      </w:r>
    </w:p>
    <w:p>
      <w:pPr>
        <w:pStyle w:val="3"/>
        <w:spacing w:before="40"/>
        <w:jc w:val="both"/>
      </w:pPr>
      <w:r>
        <w:rPr>
          <w:w w:val="91"/>
        </w:rPr>
        <w:t xml:space="preserve"> </w:t>
      </w:r>
      <w:r>
        <w:rPr>
          <w:w w:val="90"/>
        </w:rPr>
        <w:t>11.11 潜在的健康危险：</w:t>
      </w:r>
    </w:p>
    <w:p>
      <w:pPr>
        <w:pStyle w:val="3"/>
        <w:jc w:val="both"/>
      </w:pPr>
      <w:r>
        <w:rPr>
          <w:w w:val="95"/>
        </w:rPr>
        <w:t xml:space="preserve"> 吸入：无资料</w:t>
      </w:r>
    </w:p>
    <w:p>
      <w:pPr>
        <w:pStyle w:val="3"/>
        <w:spacing w:before="40"/>
        <w:jc w:val="both"/>
      </w:pPr>
      <w:r>
        <w:rPr>
          <w:w w:val="95"/>
        </w:rPr>
        <w:t xml:space="preserve"> 摄入：无资料</w:t>
      </w:r>
    </w:p>
    <w:p>
      <w:pPr>
        <w:pStyle w:val="3"/>
        <w:jc w:val="both"/>
      </w:pPr>
      <w:r>
        <w:rPr>
          <w:w w:val="95"/>
        </w:rPr>
        <w:t xml:space="preserve"> 皮肤：无资料</w:t>
      </w:r>
    </w:p>
    <w:p>
      <w:pPr>
        <w:pStyle w:val="3"/>
        <w:spacing w:line="220" w:lineRule="exact"/>
        <w:jc w:val="both"/>
      </w:pPr>
      <w:r>
        <w:rPr>
          <w:w w:val="95"/>
        </w:rPr>
        <w:t xml:space="preserve"> 眼睛：无资料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rPr>
          <w:w w:val="90"/>
        </w:rPr>
        <w:t>12.生态学信息</w:t>
      </w:r>
    </w:p>
    <w:p>
      <w:pPr>
        <w:pStyle w:val="3"/>
        <w:spacing w:before="40"/>
        <w:jc w:val="both"/>
      </w:pPr>
      <w:r>
        <w:rPr>
          <w:w w:val="91"/>
        </w:rPr>
        <w:t xml:space="preserve"> </w:t>
      </w:r>
      <w:r>
        <w:t>12.1 生态毒性：无资料</w:t>
      </w:r>
    </w:p>
    <w:p>
      <w:pPr>
        <w:pStyle w:val="3"/>
        <w:jc w:val="both"/>
      </w:pPr>
      <w:r>
        <w:rPr>
          <w:w w:val="93"/>
        </w:rPr>
        <w:t xml:space="preserve"> </w:t>
      </w:r>
      <w:r>
        <w:t>12.2 持久性和降解性：无资料</w:t>
      </w:r>
    </w:p>
    <w:p>
      <w:pPr>
        <w:pStyle w:val="3"/>
        <w:spacing w:before="40"/>
        <w:jc w:val="both"/>
      </w:pPr>
      <w:r>
        <w:rPr>
          <w:w w:val="93"/>
        </w:rPr>
        <w:t xml:space="preserve"> </w:t>
      </w:r>
      <w:r>
        <w:t>12.3 潜在的生物累积性：无资料</w:t>
      </w:r>
    </w:p>
    <w:p>
      <w:pPr>
        <w:pStyle w:val="3"/>
        <w:jc w:val="both"/>
      </w:pPr>
      <w:r>
        <w:rPr>
          <w:w w:val="93"/>
        </w:rPr>
        <w:t xml:space="preserve"> </w:t>
      </w:r>
      <w:r>
        <w:t>12.4 土壤中的迁移性：无资料</w:t>
      </w:r>
    </w:p>
    <w:p>
      <w:pPr>
        <w:pStyle w:val="3"/>
        <w:spacing w:line="220" w:lineRule="exact"/>
        <w:jc w:val="both"/>
      </w:pPr>
      <w:r>
        <w:rPr>
          <w:w w:val="92"/>
        </w:rPr>
        <w:t xml:space="preserve"> </w:t>
      </w:r>
      <w:r>
        <w:t>12.5 其它不良影响：无资料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13.废弃处置</w:t>
      </w:r>
    </w:p>
    <w:p>
      <w:pPr>
        <w:pStyle w:val="3"/>
        <w:spacing w:before="40"/>
        <w:jc w:val="both"/>
      </w:pPr>
      <w:r>
        <w:rPr>
          <w:w w:val="97"/>
        </w:rPr>
        <w:t xml:space="preserve"> </w:t>
      </w:r>
      <w:r>
        <w:t>13.1 残余废弃物处置方法：与易燃溶剂相溶或者相混合，在备有燃烧后处理和洗刷作用的化学焚化炉中燃烧</w:t>
      </w:r>
    </w:p>
    <w:p>
      <w:pPr>
        <w:pStyle w:val="3"/>
        <w:jc w:val="both"/>
      </w:pPr>
      <w:r>
        <w:rPr>
          <w:w w:val="95"/>
        </w:rPr>
        <w:t xml:space="preserve"> </w:t>
      </w:r>
      <w:r>
        <w:t>13.2 受污染的容器和包装：按未用产品处置</w:t>
      </w:r>
    </w:p>
    <w:p>
      <w:pPr>
        <w:pStyle w:val="3"/>
        <w:spacing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1"/>
        <w:jc w:val="both"/>
      </w:pPr>
      <w:r>
        <w:t>14.运输信息</w:t>
      </w:r>
    </w:p>
    <w:p>
      <w:pPr>
        <w:pStyle w:val="3"/>
        <w:jc w:val="both"/>
      </w:pPr>
      <w:r>
        <w:rPr>
          <w:w w:val="104"/>
        </w:rPr>
        <w:t xml:space="preserve">  </w:t>
      </w:r>
      <w:r>
        <w:rPr>
          <w:w w:val="105"/>
        </w:rPr>
        <w:t>危规号CN：NA</w:t>
      </w:r>
    </w:p>
    <w:p>
      <w:pPr>
        <w:pStyle w:val="3"/>
        <w:jc w:val="both"/>
      </w:pPr>
      <w:r>
        <w:rPr>
          <w:w w:val="98"/>
        </w:rPr>
        <w:t xml:space="preserve">  </w:t>
      </w:r>
      <w:r>
        <w:t>联合国危险货物编号：NA</w:t>
      </w:r>
    </w:p>
    <w:p>
      <w:pPr>
        <w:pStyle w:val="3"/>
        <w:spacing w:before="40"/>
        <w:jc w:val="both"/>
      </w:pPr>
      <w:r>
        <w:rPr>
          <w:w w:val="95"/>
        </w:rPr>
        <w:t xml:space="preserve">  </w:t>
      </w:r>
      <w:r>
        <w:t>联合国运输名称：非危险货物</w:t>
      </w:r>
    </w:p>
    <w:p>
      <w:pPr>
        <w:pStyle w:val="3"/>
        <w:jc w:val="both"/>
      </w:pPr>
      <w:r>
        <w:rPr>
          <w:w w:val="98"/>
        </w:rPr>
        <w:t xml:space="preserve">  </w:t>
      </w:r>
      <w:r>
        <w:t>联合国危险性分类：NA</w:t>
      </w:r>
    </w:p>
    <w:p>
      <w:pPr>
        <w:pStyle w:val="3"/>
        <w:jc w:val="both"/>
      </w:pPr>
      <w:r>
        <w:rPr>
          <w:w w:val="92"/>
        </w:rPr>
        <w:t xml:space="preserve">  </w:t>
      </w:r>
      <w:r>
        <w:t>包装组：无资料</w:t>
      </w:r>
    </w:p>
    <w:p>
      <w:pPr>
        <w:pStyle w:val="3"/>
        <w:spacing w:before="40"/>
        <w:jc w:val="both"/>
      </w:pPr>
      <w:r>
        <w:rPr>
          <w:w w:val="93"/>
        </w:rPr>
        <w:t xml:space="preserve">  </w:t>
      </w:r>
      <w:r>
        <w:t>包装方法：无资料</w:t>
      </w:r>
    </w:p>
    <w:p>
      <w:pPr>
        <w:pStyle w:val="3"/>
        <w:jc w:val="both"/>
      </w:pPr>
      <w:r>
        <w:rPr>
          <w:w w:val="93"/>
        </w:rPr>
        <w:t xml:space="preserve">  </w:t>
      </w:r>
      <w:r>
        <w:t>海洋污染物（是/否）：否</w:t>
      </w:r>
    </w:p>
    <w:p>
      <w:pPr>
        <w:pStyle w:val="3"/>
        <w:spacing w:before="40" w:line="220" w:lineRule="exact"/>
        <w:jc w:val="both"/>
      </w:pPr>
      <w:r>
        <w:rPr>
          <w:w w:val="94"/>
        </w:rPr>
        <w:t xml:space="preserve">  </w:t>
      </w:r>
      <w:r>
        <w:t>运输注意事项：无资料</w:t>
      </w:r>
    </w:p>
    <w:p>
      <w:pPr>
        <w:spacing w:before="0" w:line="67" w:lineRule="exact"/>
        <w:ind w:left="100" w:right="0" w:firstLine="0"/>
        <w:jc w:val="both"/>
        <w:rPr>
          <w:sz w:val="6"/>
        </w:rPr>
      </w:pPr>
      <w:r>
        <w:rPr>
          <w:w w:val="41"/>
          <w:sz w:val="6"/>
        </w:rPr>
        <w:t xml:space="preserve"> </w:t>
      </w:r>
    </w:p>
    <w:p>
      <w:pPr>
        <w:pStyle w:val="3"/>
        <w:spacing w:before="8"/>
        <w:ind w:left="0"/>
        <w:rPr>
          <w:sz w:val="5"/>
        </w:rPr>
      </w:pPr>
    </w:p>
    <w:p>
      <w:pPr>
        <w:pStyle w:val="3"/>
        <w:spacing w:before="1"/>
        <w:jc w:val="both"/>
      </w:pPr>
      <w:r>
        <w:t>15.法规信息</w:t>
      </w:r>
    </w:p>
    <w:p>
      <w:pPr>
        <w:pStyle w:val="3"/>
        <w:jc w:val="both"/>
      </w:pPr>
      <w:r>
        <w:t>下列法律法规和标准，对化学品的安全使用、储存、运输、装卸、分类和标志等方面均作了相应的规定：</w:t>
      </w:r>
    </w:p>
    <w:p>
      <w:pPr>
        <w:pStyle w:val="3"/>
        <w:jc w:val="both"/>
      </w:pPr>
      <w:r>
        <w:rPr>
          <w:w w:val="88"/>
        </w:rPr>
        <w:t xml:space="preserve">        </w:t>
      </w:r>
      <w:r>
        <w:t>《危险化学品名录》（2015版）：未列入</w:t>
      </w:r>
    </w:p>
    <w:p>
      <w:pPr>
        <w:pStyle w:val="3"/>
        <w:spacing w:before="40"/>
        <w:jc w:val="both"/>
      </w:pPr>
      <w:r>
        <w:rPr>
          <w:w w:val="89"/>
        </w:rPr>
        <w:t xml:space="preserve">        </w:t>
      </w:r>
      <w:r>
        <w:t>《易制毒化学品名录》（2002版）：未列入</w:t>
      </w:r>
    </w:p>
    <w:p>
      <w:pPr>
        <w:pStyle w:val="3"/>
        <w:jc w:val="both"/>
      </w:pPr>
      <w:r>
        <w:rPr>
          <w:w w:val="90"/>
        </w:rPr>
        <w:t xml:space="preserve">        </w:t>
      </w:r>
      <w:r>
        <w:t>《易制爆危险化学品名录》（2011版）：未列入</w:t>
      </w:r>
    </w:p>
    <w:p>
      <w:pPr>
        <w:pStyle w:val="3"/>
        <w:jc w:val="both"/>
      </w:pPr>
      <w:r>
        <w:rPr>
          <w:w w:val="92"/>
        </w:rPr>
        <w:t xml:space="preserve">        </w:t>
      </w:r>
      <w:r>
        <w:t>化学品分类、警示标签和警示性说明规范系列标准（GB 20576～GB 20602）</w:t>
      </w:r>
    </w:p>
    <w:p>
      <w:pPr>
        <w:pStyle w:val="3"/>
        <w:spacing w:before="40"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16.其他信息</w:t>
      </w:r>
    </w:p>
    <w:p>
      <w:pPr>
        <w:pStyle w:val="3"/>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before="40"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pPr>
      <w:r>
        <w:rPr>
          <w:w w:val="97"/>
        </w:rPr>
        <w:t xml:space="preserve">  </w:t>
      </w:r>
      <w:r>
        <w:t>修改说明：每5年修订一次或有国家新的相关法律法规出台时</w:t>
      </w:r>
    </w:p>
    <w:p>
      <w:pPr>
        <w:pStyle w:val="3"/>
        <w:spacing w:before="40"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44E13014"/>
    <w:rsid w:val="16047413"/>
    <w:rsid w:val="44E130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2023-11-02T08:55:00Z</dcterms:created>
  <dc:creator>刘文丹。</dc:creator>
  <cp:lastModifiedBy>刘文丹。</cp:lastModifiedBy>
  <dcterms:modified xsi:type="dcterms:W3CDTF">2023-11-02T08:56:24Z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0906CF974ABB4D2888C20D222A3C6D5B_11</vt:lpwstr>
  </property>
</Properties>
</file>