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2-巯基乙醇</w:t>
      </w:r>
      <w:r>
        <w:rPr>
          <w:rFonts w:hint="eastAsia"/>
          <w:lang w:eastAsia="zh-CN"/>
        </w:rPr>
        <w:t>安全说明书</w:t>
      </w:r>
    </w:p>
    <w:bookmarkEnd w:id="0"/>
    <w:p>
      <w:pPr>
        <w:pStyle w:val="3"/>
        <w:spacing w:before="0" w:line="280" w:lineRule="auto"/>
        <w:ind w:right="8987"/>
      </w:pPr>
      <w:r>
        <w:rPr>
          <w:w w:val="95"/>
        </w:rPr>
        <w:t>1.化学品及企业标识中文名：2-巯基乙醇</w:t>
      </w:r>
    </w:p>
    <w:p>
      <w:pPr>
        <w:pStyle w:val="3"/>
        <w:spacing w:before="0"/>
      </w:pPr>
      <w:r>
        <w:t>英文名：2-Mercaptoethanol</w:t>
      </w:r>
    </w:p>
    <w:p>
      <w:pPr>
        <w:pStyle w:val="3"/>
        <w:spacing w:before="40"/>
      </w:pPr>
      <w:r>
        <w:t>中文别名：2-巯基乙醇；β-巯基乙醇；2-羟基乙基硫醇；硫代乙二醇；硫甘醇</w:t>
      </w:r>
    </w:p>
    <w:p>
      <w:pPr>
        <w:pStyle w:val="3"/>
        <w:spacing w:line="280" w:lineRule="auto"/>
        <w:ind w:right="3073"/>
      </w:pPr>
      <w:r>
        <w:rPr>
          <w:w w:val="85"/>
        </w:rPr>
        <w:t>英文别名：2-Mercaptoethanol;β-Mercaptoethanol;2-Hydroxyethylmercaptan;Thioethylene</w:t>
      </w:r>
      <w:r>
        <w:rPr>
          <w:spacing w:val="3"/>
          <w:w w:val="85"/>
        </w:rPr>
        <w:t xml:space="preserve">  </w:t>
      </w:r>
      <w:r>
        <w:rPr>
          <w:w w:val="85"/>
        </w:rPr>
        <w:t xml:space="preserve">glycol;BME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CSDS60-24-2 2-巯基乙醇</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39"/>
      </w:pPr>
      <w:r>
        <w:rPr>
          <w:w w:val="98"/>
        </w:rPr>
        <w:t xml:space="preserve"> </w:t>
      </w:r>
      <w:r>
        <w:rPr>
          <w:w w:val="95"/>
        </w:rPr>
        <w:t>2.1   紧急情况概述：无色或黄色液体。吞咽会中毒。皮肤接触有害。造成皮肤刺激。造成严重眼刺激。怀疑会导致遗传性缺陷。怀疑</w:t>
      </w:r>
      <w:r>
        <w:t>对生育能力或胎儿造成伤害。长期或重复接触会对器官造成伤害。对水生生物毒性极大并具有长期持续影响。过量接触需采取特殊急救措施和进行医疗随访。用水雾,抗乙醇泡沫,干粉或二氧化碳灭火如必要的话,戴自给式呼吸器去救火。</w:t>
      </w:r>
    </w:p>
    <w:p>
      <w:pPr>
        <w:pStyle w:val="3"/>
        <w:spacing w:before="1" w:line="280" w:lineRule="auto"/>
        <w:ind w:right="165"/>
      </w:pPr>
      <w:r>
        <w:rPr>
          <w:w w:val="98"/>
        </w:rPr>
        <w:t xml:space="preserve"> </w:t>
      </w:r>
      <w:r>
        <w:t>2.2</w:t>
      </w:r>
      <w:r>
        <w:rPr>
          <w:spacing w:val="-56"/>
        </w:rPr>
        <w:t xml:space="preserve"> </w:t>
      </w:r>
      <w:r>
        <w:t>GHS危险性分类：易燃液体（类别4）急性毒性（经口）（类别3）急性毒性（吸入）（类别3）急性毒性（经皮）（类别2）皮肤</w:t>
      </w:r>
      <w:r>
        <w:rPr>
          <w:w w:val="95"/>
        </w:rPr>
        <w:t>刺激（类别2）严重眼睛损伤（类别1）皮肤过敏（类别1）特异性靶器官系统毒性（反复接触），经口（类别2），</w:t>
      </w:r>
      <w:r>
        <w:rPr>
          <w:spacing w:val="-3"/>
          <w:w w:val="95"/>
        </w:rPr>
        <w:t xml:space="preserve">肝，心脏急性水生     </w:t>
      </w:r>
      <w:r>
        <w:t>毒性（类别1）慢性水生毒性（类别1）</w:t>
      </w:r>
    </w:p>
    <w:p>
      <w:pPr>
        <w:pStyle w:val="3"/>
        <w:spacing w:before="0"/>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190500</wp:posOffset>
            </wp:positionV>
            <wp:extent cx="762000" cy="762000"/>
            <wp:effectExtent l="0" t="0" r="0" b="0"/>
            <wp:wrapTopAndBottom/>
            <wp:docPr id="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3121660</wp:posOffset>
            </wp:positionH>
            <wp:positionV relativeFrom="paragraph">
              <wp:posOffset>190500</wp:posOffset>
            </wp:positionV>
            <wp:extent cx="754380" cy="762000"/>
            <wp:effectExtent l="0" t="0" r="7620" b="0"/>
            <wp:wrapTopAndBottom/>
            <wp:docPr id="1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jpeg"/>
                    <pic:cNvPicPr>
                      <a:picLocks noChangeAspect="1"/>
                    </pic:cNvPicPr>
                  </pic:nvPicPr>
                  <pic:blipFill>
                    <a:blip r:embed="rId9"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190500</wp:posOffset>
            </wp:positionV>
            <wp:extent cx="762000" cy="762000"/>
            <wp:effectExtent l="0" t="0" r="0" b="0"/>
            <wp:wrapTopAndBottom/>
            <wp:docPr id="1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jpeg"/>
                    <pic:cNvPicPr>
                      <a:picLocks noChangeAspect="1"/>
                    </pic:cNvPicPr>
                  </pic:nvPicPr>
                  <pic:blipFill>
                    <a:blip r:embed="rId10"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危险信息：吞咽会中毒。皮肤接触有害。造成皮肤刺激。造成严重眼刺激。怀疑会导致遗传性缺陷。怀疑对生育能力或胎儿造成伤     </w:t>
      </w:r>
      <w:r>
        <w:t>害。长期或重复接触会对器官造成伤害。对水生生物毒性极大并具有长期持续影响。</w:t>
      </w:r>
    </w:p>
    <w:p>
      <w:pPr>
        <w:pStyle w:val="3"/>
        <w:spacing w:before="0"/>
      </w:pPr>
      <w:r>
        <w:rPr>
          <w:w w:val="97"/>
        </w:rPr>
        <w:t xml:space="preserve"> </w:t>
      </w:r>
      <w:r>
        <w:rPr>
          <w:w w:val="95"/>
        </w:rPr>
        <w:t>预防措施：远离热源、火花、明火和热表面。-禁止吸烟。不要吸入粉尘/烟/气体/烟雾/蒸汽/喷雾。防止溅入眼睛、接触皮肤或衣服</w:t>
      </w:r>
    </w:p>
    <w:p>
      <w:pPr>
        <w:pStyle w:val="3"/>
        <w:spacing w:before="40"/>
      </w:pPr>
      <w:r>
        <w:t>。操作后彻底清洁皮肤。使用本产品时不要进食、饮水或吸烟。只能在室外或通风良好之处使用。禁止将污染的工作服带出作业场所</w:t>
      </w:r>
    </w:p>
    <w:p>
      <w:pPr>
        <w:pStyle w:val="3"/>
      </w:pPr>
      <w:r>
        <w:t>。避免释放到环境中。戴防护手套/穿防护服/戴护目镜/戴面罩。</w:t>
      </w:r>
    </w:p>
    <w:p>
      <w:pPr>
        <w:pStyle w:val="3"/>
        <w:spacing w:before="40" w:line="280" w:lineRule="auto"/>
        <w:ind w:right="130"/>
        <w:jc w:val="both"/>
      </w:pPr>
      <w:r>
        <w:rPr>
          <w:w w:val="99"/>
        </w:rPr>
        <w:t xml:space="preserve"> </w:t>
      </w:r>
      <w:r>
        <w:rPr>
          <w:w w:val="95"/>
        </w:rPr>
        <w:t>事故响应：如果吞下去了:立即呼救解毒中心或医生。如皮肤接触：用大量肥皂和水清洗。如与眼睛接触。用水缓慢温和地冲洗几分     钟。如戴隐形眼镜并可方便地取出。取出隐形眼镜。然后继续冲洗。如接触到或有疑虑：求医/就诊。漱口。具体措施(见本标签上提     供的急救指导)。如发生皮肤刺激：求医/就诊。脱掉沾染的衣服。清洗后方可重新使用。收集溢出物。如仍觉眼睛刺激：求医/</w:t>
      </w:r>
      <w:r>
        <w:rPr>
          <w:spacing w:val="-7"/>
          <w:w w:val="95"/>
        </w:rPr>
        <w:t>就诊。</w:t>
      </w:r>
    </w:p>
    <w:p>
      <w:pPr>
        <w:pStyle w:val="3"/>
        <w:spacing w:before="0"/>
      </w:pPr>
      <w:r>
        <w:rPr>
          <w:w w:val="99"/>
        </w:rPr>
        <w:t xml:space="preserve"> </w:t>
      </w:r>
      <w:r>
        <w:t>安全存储：存放于通风良好的地方。保持容器密闭。存放处须加锁。建议的储存温度：2-8℃。相对湿度不超过80%。</w:t>
      </w:r>
    </w:p>
    <w:p>
      <w:pPr>
        <w:pStyle w:val="3"/>
      </w:pPr>
      <w:r>
        <w:rPr>
          <w:w w:val="96"/>
        </w:rPr>
        <w:t xml:space="preserve"> </w:t>
      </w:r>
      <w:r>
        <w:t>废弃处置：按照地方/区域/国家/国际规章处置内装物/容器。</w:t>
      </w:r>
    </w:p>
    <w:p>
      <w:pPr>
        <w:pStyle w:val="3"/>
        <w:spacing w:before="40"/>
      </w:pPr>
      <w:r>
        <w:rPr>
          <w:w w:val="94"/>
        </w:rPr>
        <w:t xml:space="preserve"> </w:t>
      </w:r>
      <w:r>
        <w:t>2.4 物理化学危险性信息：不适用</w:t>
      </w:r>
    </w:p>
    <w:p>
      <w:pPr>
        <w:pStyle w:val="3"/>
        <w:spacing w:line="280" w:lineRule="auto"/>
        <w:ind w:right="214"/>
      </w:pPr>
      <w:r>
        <w:rPr>
          <w:w w:val="98"/>
        </w:rPr>
        <w:t xml:space="preserve"> </w:t>
      </w:r>
      <w:r>
        <w:rPr>
          <w:w w:val="95"/>
        </w:rPr>
        <w:t>2.5   健康危害：吞咽会中毒。皮肤接触有害。造成皮肤刺激。造成严重眼刺激。怀疑会导致遗传性缺陷。怀疑对生育能力或胎儿造成</w:t>
      </w:r>
      <w:r>
        <w:t>伤害。长期或重复接触会对器官造成伤害。</w:t>
      </w:r>
    </w:p>
    <w:p>
      <w:pPr>
        <w:pStyle w:val="3"/>
        <w:spacing w:before="1"/>
      </w:pPr>
      <w:r>
        <w:rPr>
          <w:w w:val="96"/>
        </w:rPr>
        <w:t xml:space="preserve"> </w:t>
      </w:r>
      <w:r>
        <w:t>2.6 环境危害：对水生生物毒性极大并具有长期持续影响。</w:t>
      </w:r>
    </w:p>
    <w:p>
      <w:pPr>
        <w:pStyle w:val="3"/>
        <w:spacing w:line="220" w:lineRule="exact"/>
      </w:pPr>
      <w:r>
        <w:rPr>
          <w:w w:val="94"/>
        </w:rPr>
        <w:t xml:space="preserve"> </w:t>
      </w:r>
      <w:r>
        <w:t>2.7 其他危害物：恶臭,通过皮肤迅速吸收。</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主要成分：2-巯基乙醇</w:t>
      </w:r>
      <w:r>
        <w:tab/>
      </w:r>
      <w:r>
        <w:rPr>
          <w:w w:val="95"/>
        </w:rPr>
        <w:t>60-24-2</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spacing w:line="280" w:lineRule="auto"/>
        <w:ind w:right="188"/>
      </w:pPr>
      <w:r>
        <w:rPr>
          <w:w w:val="94"/>
        </w:rPr>
        <w:t xml:space="preserve"> </w:t>
      </w:r>
      <w:r>
        <w:rPr>
          <w:w w:val="95"/>
        </w:rPr>
        <w:t>4.2</w:t>
      </w:r>
      <w:r>
        <w:rPr>
          <w:spacing w:val="-7"/>
          <w:w w:val="95"/>
        </w:rPr>
        <w:t xml:space="preserve"> 主要症状和影响，急性和迟发效应：灼伤感：咳嗽,喘息,喉炎,呼吸短促,头痛,恶心,呕吐,虚弱,失去知觉,该物质对粘膜组织和上呼吸</w:t>
      </w:r>
      <w:r>
        <w:t>道、眼睛和皮肤破坏巨大。,痉挛，发炎，咽喉肿痛,痉挛，发炎，支气管炎,肺炎,肺水肿</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灭火方法或灭火剂：用水雾,抗乙醇泡沫,干粉或二氧化碳灭火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作业人员的防护措施、防护设备和应急处置程序：戴呼吸罩。避免吸入蒸气、烟雾或气体。保证充分的通风。移去所有火源。人</w:t>
      </w:r>
      <w:r>
        <w:t>员疏散到安全区域。谨防蒸气积累达到可爆炸的浓度。蒸气能在低洼处积聚。</w:t>
      </w:r>
    </w:p>
    <w:p>
      <w:pPr>
        <w:pStyle w:val="3"/>
        <w:spacing w:before="0"/>
      </w:pPr>
      <w:r>
        <w:rPr>
          <w:w w:val="98"/>
        </w:rPr>
        <w:t xml:space="preserve"> </w:t>
      </w:r>
      <w:r>
        <w:t>6.2 环境保护措施：如能确保安全，可采取措施防止进一步的泄漏或溢出。不要让产品进入下水道。一定要避免排放到周围环境中。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去,根据当地规定处理，放入合适的封闭的容器中待处理。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8"/>
        </w:rPr>
        <w:t xml:space="preserve"> </w:t>
      </w:r>
      <w:r>
        <w:t>7.1 安全处置注意事项：避免接触皮肤和眼睛。避免吸入蒸气和烟雾。切勿靠近火源。－严禁烟火。采取措施防止静电积聚。</w:t>
      </w:r>
    </w:p>
    <w:p>
      <w:pPr>
        <w:pStyle w:val="3"/>
        <w:spacing w:line="280" w:lineRule="auto"/>
        <w:ind w:right="214"/>
      </w:pPr>
      <w:r>
        <w:rPr>
          <w:w w:val="98"/>
        </w:rPr>
        <w:t xml:space="preserve"> </w:t>
      </w:r>
      <w:r>
        <w:rPr>
          <w:w w:val="95"/>
        </w:rPr>
        <w:t>7.2   安全储存注意事项：贮存在阴凉处。使容器保持密闭，储存在干燥通风处。打开了的容器必须仔细重新封口并保持竖放位置以防</w:t>
      </w:r>
      <w:r>
        <w:t>止泄漏。建议的贮存温度：2-8℃</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90"/>
        </w:rPr>
        <w:t xml:space="preserve">     </w:t>
      </w:r>
      <w:r>
        <w:t>手防护：戴防毒物渗透手套。</w:t>
      </w:r>
    </w:p>
    <w:p>
      <w:pPr>
        <w:pStyle w:val="3"/>
      </w:pPr>
      <w:r>
        <w:rPr>
          <w:w w:val="95"/>
        </w:rPr>
        <w:t xml:space="preserve">     </w:t>
      </w:r>
      <w:r>
        <w:t>眼睛防护：面罩與安全眼鏡请使用经官方标准检测与批准的设备防护眼部。</w:t>
      </w:r>
    </w:p>
    <w:p>
      <w:pPr>
        <w:pStyle w:val="3"/>
        <w:spacing w:before="40"/>
      </w:pPr>
      <w:r>
        <w:rPr>
          <w:w w:val="95"/>
        </w:rPr>
        <w:t xml:space="preserve">     </w:t>
      </w:r>
      <w:r>
        <w:t>皮肤和身体防护：穿防毒物渗透工作服。穿防静电阻燃防护服。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外观与性状：无色易流动油状液体，有特臭，对空气敏感。</w:t>
      </w:r>
      <w:r>
        <w:tab/>
      </w:r>
      <w:r>
        <w:t>气味：有特臭</w:t>
      </w:r>
    </w:p>
    <w:p>
      <w:pPr>
        <w:pStyle w:val="3"/>
        <w:tabs>
          <w:tab w:val="left" w:pos="6415"/>
        </w:tabs>
        <w:spacing w:before="8"/>
        <w:ind w:left="140"/>
      </w:pPr>
      <w:r>
        <w:t>气味阈值：无资料</w:t>
      </w:r>
      <w:r>
        <w:tab/>
      </w:r>
      <w:r>
        <w:t>pH：4.5-6(500g/L,H2O,20℃)</w:t>
      </w:r>
    </w:p>
    <w:p>
      <w:pPr>
        <w:pStyle w:val="3"/>
        <w:tabs>
          <w:tab w:val="left" w:pos="6415"/>
        </w:tabs>
        <w:spacing w:before="7"/>
        <w:ind w:left="140"/>
      </w:pPr>
      <w:r>
        <w:rPr>
          <w:w w:val="95"/>
        </w:rPr>
        <w:t>熔点/凝固点(℃)：&lt;-100℃</w:t>
      </w:r>
      <w:r>
        <w:rPr>
          <w:w w:val="95"/>
        </w:rPr>
        <w:tab/>
      </w:r>
      <w:r>
        <w:t>沸点、初沸点、沸程(℃)：154-161℃/760mmHg</w:t>
      </w:r>
    </w:p>
    <w:p>
      <w:pPr>
        <w:pStyle w:val="3"/>
        <w:tabs>
          <w:tab w:val="left" w:pos="6415"/>
        </w:tabs>
        <w:spacing w:before="8"/>
        <w:ind w:left="140"/>
      </w:pPr>
      <w:r>
        <w:rPr>
          <w:w w:val="90"/>
        </w:rPr>
        <w:t>密度/相对密度(水=1)：ρ(20)1.110-1.120g/mL</w:t>
      </w:r>
      <w:r>
        <w:rPr>
          <w:w w:val="90"/>
        </w:rPr>
        <w:tab/>
      </w:r>
      <w:r>
        <w:t>蒸汽密度(空气=1)：无资料</w:t>
      </w:r>
    </w:p>
    <w:p>
      <w:pPr>
        <w:pStyle w:val="3"/>
        <w:tabs>
          <w:tab w:val="left" w:pos="6415"/>
        </w:tabs>
        <w:spacing w:before="8"/>
        <w:ind w:left="140"/>
      </w:pPr>
      <w:r>
        <w:rPr>
          <w:w w:val="90"/>
        </w:rPr>
        <w:t>蒸汽压(kPa)：0.76hPa(20℃)，4.67hPa在40℃</w:t>
      </w:r>
      <w:r>
        <w:rPr>
          <w:w w:val="90"/>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rPr>
          <w:w w:val="95"/>
        </w:rPr>
        <w:t>辛醇/水分配系数的对数值：-0.056</w:t>
      </w:r>
      <w:r>
        <w:rPr>
          <w:w w:val="95"/>
        </w:rPr>
        <w:tab/>
      </w:r>
      <w:r>
        <w:t>闪点(℃)：154.4℉/68℃</w:t>
      </w:r>
    </w:p>
    <w:p>
      <w:pPr>
        <w:pStyle w:val="3"/>
        <w:tabs>
          <w:tab w:val="left" w:pos="6415"/>
        </w:tabs>
        <w:spacing w:before="7"/>
        <w:ind w:left="140"/>
      </w:pPr>
      <w:r>
        <w:t>自燃温度(℃)：无资料</w:t>
      </w:r>
      <w:r>
        <w:tab/>
      </w:r>
      <w:r>
        <w:rPr>
          <w:w w:val="105"/>
        </w:rPr>
        <w:t>爆炸上限%（V/V）：18%(V)</w:t>
      </w:r>
    </w:p>
    <w:p>
      <w:pPr>
        <w:pStyle w:val="3"/>
        <w:tabs>
          <w:tab w:val="left" w:pos="6415"/>
        </w:tabs>
        <w:spacing w:before="8"/>
        <w:ind w:left="140"/>
      </w:pPr>
      <w:r>
        <w:t>溶解性：能与水、乙醇、乙醚和苯任意混溶。</w:t>
      </w:r>
      <w:r>
        <w:tab/>
      </w:r>
      <w:r>
        <w:t>爆炸下限%（V/V）：2.3%(V)</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spacing w:after="0"/>
        <w:sectPr>
          <w:pgSz w:w="11900" w:h="16840"/>
          <w:pgMar w:top="760" w:right="600" w:bottom="700" w:left="620" w:header="0" w:footer="509" w:gutter="0"/>
          <w:cols w:space="720" w:num="1"/>
        </w:sectPr>
      </w:pPr>
    </w:p>
    <w:p>
      <w:pPr>
        <w:pStyle w:val="3"/>
        <w:spacing w:before="50"/>
      </w:pPr>
      <w:r>
        <w:rPr>
          <w:w w:val="91"/>
        </w:rPr>
        <w:t xml:space="preserve"> </w:t>
      </w:r>
      <w:r>
        <w:t>10.2 危险反应：无资料</w:t>
      </w:r>
    </w:p>
    <w:p>
      <w:pPr>
        <w:pStyle w:val="3"/>
      </w:pPr>
      <w:r>
        <w:rPr>
          <w:w w:val="93"/>
        </w:rPr>
        <w:t xml:space="preserve"> </w:t>
      </w:r>
      <w:r>
        <w:t>10.3 应避免的条件：热,火焰和火花。</w:t>
      </w:r>
    </w:p>
    <w:p>
      <w:pPr>
        <w:pStyle w:val="3"/>
      </w:pPr>
      <w:r>
        <w:rPr>
          <w:w w:val="91"/>
        </w:rPr>
        <w:t xml:space="preserve"> </w:t>
      </w:r>
      <w:r>
        <w:rPr>
          <w:w w:val="90"/>
        </w:rPr>
        <w:t>10.4 不相容物质：金属,氧化剂</w:t>
      </w:r>
    </w:p>
    <w:p>
      <w:pPr>
        <w:pStyle w:val="3"/>
        <w:spacing w:before="40"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line="280" w:lineRule="auto"/>
        <w:ind w:right="350"/>
      </w:pPr>
      <w:r>
        <w:rPr>
          <w:w w:val="95"/>
        </w:rPr>
        <w:t xml:space="preserve"> 11.1 急性毒性：半数致死剂量(LD50)经口-大鼠-98-162mg/kg半数致死浓度(LC50)吸入-大鼠-4h-2mg/l半数致死浓度(LC50)吸入-大鼠- </w:t>
      </w:r>
      <w:r>
        <w:t>4h-625ppm半数致死剂量(LD50)经皮-兔子-112-224mg/kg</w:t>
      </w:r>
    </w:p>
    <w:p>
      <w:pPr>
        <w:pStyle w:val="3"/>
        <w:spacing w:before="1"/>
      </w:pPr>
      <w:r>
        <w:rPr>
          <w:w w:val="93"/>
        </w:rPr>
        <w:t xml:space="preserve"> </w:t>
      </w:r>
      <w:r>
        <w:t>11.2 皮肤刺激或腐蚀：皮肤-兔子-刺激皮肤。-兔眼刺激(Draize)试验</w:t>
      </w:r>
    </w:p>
    <w:p>
      <w:pPr>
        <w:pStyle w:val="3"/>
      </w:pPr>
      <w:r>
        <w:rPr>
          <w:w w:val="95"/>
        </w:rPr>
        <w:t xml:space="preserve"> </w:t>
      </w:r>
      <w:r>
        <w:t>11.3 眼睛刺激和腐蚀：眼睛-兔子-可对眼睛造成严重损伤。</w:t>
      </w:r>
    </w:p>
    <w:p>
      <w:pPr>
        <w:pStyle w:val="3"/>
      </w:pPr>
      <w:r>
        <w:rPr>
          <w:w w:val="96"/>
        </w:rPr>
        <w:t xml:space="preserve"> </w:t>
      </w:r>
      <w:r>
        <w:t>11.4 呼吸或皮肤过敏：过敏原的最大化试验-豚鼠-经济合作与发展组织的试验指南406-接触皮肤可引起过敏</w:t>
      </w:r>
    </w:p>
    <w:p>
      <w:pPr>
        <w:pStyle w:val="3"/>
        <w:spacing w:before="40"/>
      </w:pPr>
      <w:r>
        <w:rPr>
          <w:w w:val="96"/>
        </w:rPr>
        <w:t xml:space="preserve"> </w:t>
      </w:r>
      <w:r>
        <w:t>11.5 生殖细胞突变性：实验表明在人工培养的细菌细胞中有突变影响。</w:t>
      </w:r>
    </w:p>
    <w:p>
      <w:pPr>
        <w:pStyle w:val="3"/>
      </w:pPr>
      <w:r>
        <w:rPr>
          <w:w w:val="99"/>
        </w:rPr>
        <w:t xml:space="preserve"> </w:t>
      </w:r>
      <w:r>
        <w:t>11.6 致癌性：IARC:此产品中没有大于或等于0。1%含量的组分被IARC鉴别为可能的或肯定的人类致癌物。</w:t>
      </w:r>
    </w:p>
    <w:p>
      <w:pPr>
        <w:pStyle w:val="3"/>
      </w:pPr>
      <w:r>
        <w:rPr>
          <w:w w:val="91"/>
        </w:rPr>
        <w:t xml:space="preserve"> </w:t>
      </w:r>
      <w:r>
        <w:t>11.7 生殖毒性：无资料</w:t>
      </w:r>
    </w:p>
    <w:p>
      <w:pPr>
        <w:pStyle w:val="3"/>
        <w:spacing w:before="40"/>
      </w:pPr>
      <w:r>
        <w:rPr>
          <w:w w:val="95"/>
        </w:rPr>
        <w:t xml:space="preserve"> </w:t>
      </w:r>
      <w:r>
        <w:t>11.8 特异性靶器官系统毒性（一次接触）：无资料</w:t>
      </w:r>
    </w:p>
    <w:p>
      <w:pPr>
        <w:pStyle w:val="3"/>
      </w:pPr>
      <w:r>
        <w:rPr>
          <w:w w:val="96"/>
        </w:rPr>
        <w:t xml:space="preserve"> </w:t>
      </w:r>
      <w:r>
        <w:t>11.9 特异性靶器官系统毒性（反复接触）：食入-长期或重复接触可能会对器官造成伤害。-肝,心脏</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pPr>
      <w:r>
        <w:rPr>
          <w:w w:val="98"/>
        </w:rPr>
        <w:t xml:space="preserve"> </w:t>
      </w:r>
      <w:r>
        <w:t>吸入：吸入会中毒。引起呼吸道刺激。</w:t>
      </w:r>
    </w:p>
    <w:p>
      <w:pPr>
        <w:pStyle w:val="3"/>
        <w:spacing w:before="40"/>
      </w:pPr>
      <w:r>
        <w:rPr>
          <w:w w:val="96"/>
        </w:rPr>
        <w:t xml:space="preserve"> </w:t>
      </w:r>
      <w:r>
        <w:t>摄入：误吞会中毒。</w:t>
      </w:r>
    </w:p>
    <w:p>
      <w:pPr>
        <w:pStyle w:val="3"/>
      </w:pPr>
      <w:r>
        <w:rPr>
          <w:w w:val="98"/>
        </w:rPr>
        <w:t xml:space="preserve"> </w:t>
      </w:r>
      <w:r>
        <w:t>皮肤：通过皮肤吸收可能致死。造成皮肤刺激。</w:t>
      </w:r>
    </w:p>
    <w:p>
      <w:pPr>
        <w:pStyle w:val="3"/>
        <w:spacing w:line="220" w:lineRule="exact"/>
      </w:pPr>
      <w:r>
        <w:rPr>
          <w:w w:val="97"/>
        </w:rPr>
        <w:t xml:space="preserve"> </w:t>
      </w:r>
      <w:r>
        <w:t>眼睛：引起眼睛灼伤。</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12.生态学信息</w:t>
      </w:r>
    </w:p>
    <w:p>
      <w:pPr>
        <w:pStyle w:val="3"/>
      </w:pPr>
      <w:r>
        <w:rPr>
          <w:w w:val="91"/>
        </w:rPr>
        <w:t xml:space="preserve"> </w:t>
      </w:r>
      <w:r>
        <w:t>12.1 生态毒性：无资料</w:t>
      </w:r>
    </w:p>
    <w:p>
      <w:pPr>
        <w:pStyle w:val="3"/>
      </w:pPr>
      <w:r>
        <w:rPr>
          <w:w w:val="93"/>
        </w:rPr>
        <w:t xml:space="preserve"> </w:t>
      </w:r>
      <w:r>
        <w:t>12.2 持久性和降解性：无资料</w:t>
      </w:r>
    </w:p>
    <w:p>
      <w:pPr>
        <w:pStyle w:val="3"/>
        <w:spacing w:before="40"/>
      </w:pPr>
      <w:r>
        <w:rPr>
          <w:w w:val="93"/>
        </w:rPr>
        <w:t xml:space="preserve"> </w:t>
      </w:r>
      <w:r>
        <w:t>12.3 潜在的生物累积性：无资料</w:t>
      </w:r>
    </w:p>
    <w:p>
      <w:pPr>
        <w:pStyle w:val="3"/>
      </w:pPr>
      <w:r>
        <w:rPr>
          <w:w w:val="93"/>
        </w:rPr>
        <w:t xml:space="preserve"> </w:t>
      </w:r>
      <w:r>
        <w:t>12.4 土壤中的迁移性：无资料</w:t>
      </w:r>
    </w:p>
    <w:p>
      <w:pPr>
        <w:pStyle w:val="3"/>
        <w:spacing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6"/>
        </w:rPr>
        <w:t xml:space="preserve"> </w:t>
      </w:r>
      <w:r>
        <w:t>13.1 残余废弃物处置方法：将剩余的和未回收的溶液交给处理公司。</w:t>
      </w:r>
    </w:p>
    <w:p>
      <w:pPr>
        <w:pStyle w:val="3"/>
      </w:pPr>
      <w:r>
        <w:rPr>
          <w:w w:val="95"/>
        </w:rPr>
        <w:t xml:space="preserve"> </w:t>
      </w:r>
      <w:r>
        <w:t>13.2 受污染的容器和包装：按未用产品处置</w:t>
      </w:r>
    </w:p>
    <w:p>
      <w:pPr>
        <w:pStyle w:val="3"/>
        <w:spacing w:before="40"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14.运输信息</w:t>
      </w:r>
    </w:p>
    <w:p>
      <w:pPr>
        <w:pStyle w:val="3"/>
      </w:pPr>
      <w:r>
        <w:rPr>
          <w:w w:val="96"/>
        </w:rPr>
        <w:t xml:space="preserve">  </w:t>
      </w:r>
      <w:r>
        <w:t>危规号CN：61091</w:t>
      </w:r>
    </w:p>
    <w:p>
      <w:pPr>
        <w:pStyle w:val="3"/>
      </w:pPr>
      <w:r>
        <w:rPr>
          <w:w w:val="94"/>
        </w:rPr>
        <w:t xml:space="preserve">  </w:t>
      </w:r>
      <w:r>
        <w:rPr>
          <w:w w:val="90"/>
        </w:rPr>
        <w:t>联合国危险货物编号：2966</w:t>
      </w:r>
    </w:p>
    <w:p>
      <w:pPr>
        <w:pStyle w:val="3"/>
        <w:spacing w:before="40"/>
      </w:pPr>
      <w:r>
        <w:rPr>
          <w:w w:val="90"/>
        </w:rPr>
        <w:t xml:space="preserve">  联合国运输名称：Thioglycol</w:t>
      </w:r>
    </w:p>
    <w:p>
      <w:pPr>
        <w:pStyle w:val="3"/>
      </w:pPr>
      <w:r>
        <w:rPr>
          <w:w w:val="91"/>
        </w:rPr>
        <w:t xml:space="preserve">  </w:t>
      </w:r>
      <w:r>
        <w:t>联合国危险性分类：6.1</w:t>
      </w:r>
    </w:p>
    <w:p>
      <w:pPr>
        <w:pStyle w:val="3"/>
        <w:spacing w:before="40"/>
      </w:pPr>
      <w:r>
        <w:rPr>
          <w:w w:val="90"/>
        </w:rPr>
        <w:t xml:space="preserve">  </w:t>
      </w:r>
      <w:r>
        <w:t>包装组：Ⅱ</w:t>
      </w:r>
    </w:p>
    <w:p>
      <w:pPr>
        <w:pStyle w:val="3"/>
      </w:pPr>
      <w:r>
        <w:rPr>
          <w:w w:val="93"/>
        </w:rPr>
        <w:t xml:space="preserve">  </w:t>
      </w:r>
      <w:r>
        <w:t>包装方法：无资料</w:t>
      </w:r>
    </w:p>
    <w:p>
      <w:pPr>
        <w:pStyle w:val="3"/>
      </w:pPr>
      <w:r>
        <w:rPr>
          <w:w w:val="93"/>
        </w:rPr>
        <w:t xml:space="preserve">  </w:t>
      </w:r>
      <w:r>
        <w:t>海洋污染物（是/否）：是</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spacing w:before="40"/>
      </w:pPr>
      <w:r>
        <w:rPr>
          <w:w w:val="89"/>
        </w:rPr>
        <w:t xml:space="preserve">        </w:t>
      </w:r>
      <w:r>
        <w:t>《易制毒化学品名录》（2002版）：未列入</w:t>
      </w:r>
    </w:p>
    <w:p>
      <w:pPr>
        <w:pStyle w:val="3"/>
      </w:pPr>
      <w:r>
        <w:rPr>
          <w:w w:val="90"/>
        </w:rPr>
        <w:t xml:space="preserve">        </w:t>
      </w:r>
      <w:r>
        <w:t>《易制爆危险化学品名录》（2011版）：未列入</w:t>
      </w:r>
    </w:p>
    <w:p>
      <w:pPr>
        <w:pStyle w:val="3"/>
        <w:spacing w:before="40"/>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pPr>
      <w:r>
        <w:rPr>
          <w:w w:val="98"/>
        </w:rPr>
        <w:t xml:space="preserve">  </w:t>
      </w:r>
      <w:r>
        <w:t>免责说明：上述信息视为正确，但不包含所有的信息，仅作为指引使用。本文件中的信息是基于我们目前所知，就正确的安全提示</w:t>
      </w:r>
    </w:p>
    <w:p>
      <w:pPr>
        <w:spacing w:after="0"/>
        <w:sectPr>
          <w:footerReference r:id="rId5" w:type="default"/>
          <w:pgSz w:w="11900" w:h="16840"/>
          <w:pgMar w:top="760" w:right="600" w:bottom="700" w:left="620" w:header="0" w:footer="509" w:gutter="0"/>
          <w:cols w:space="720" w:num="1"/>
        </w:sectPr>
      </w:pPr>
    </w:p>
    <w:p>
      <w:pPr>
        <w:pStyle w:val="3"/>
        <w:spacing w:before="50" w:line="280" w:lineRule="auto"/>
        <w:ind w:right="186"/>
      </w:pPr>
      <w:r>
        <w:t>来说适用于本品。该信息不代表对此产品性质的保证。本CSDS只为那些受过适当专业训练使用该产品的有关人员提供对该产品的的安全预防资料。获取CSDS的使用者，在特殊的使用条件下，必须对本CSDS的适用性作出独立的判断，对特殊的使用场合下，由于使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320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320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6278094F"/>
    <w:rsid w:val="16047413"/>
    <w:rsid w:val="62780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2023-11-02T09:43:00Z</dcterms:created>
  <dc:creator>刘文丹。</dc:creator>
  <cp:lastModifiedBy>刘文丹。</cp:lastModifiedBy>
  <dcterms:modified xsi:type="dcterms:W3CDTF">2023-11-02T09:44:23Z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81C14FC603974918A08E319D4D442760_11</vt:lpwstr>
  </property>
</Properties>
</file>