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eastAsia="宋体"/>
          <w:lang w:eastAsia="zh-CN"/>
        </w:rPr>
      </w:pPr>
      <w:bookmarkStart w:id="0" w:name="_GoBack"/>
      <w:r>
        <w:t>氯化铬(Ⅲ)，六水</w:t>
      </w:r>
      <w:r>
        <w:rPr>
          <w:rFonts w:hint="eastAsia"/>
          <w:lang w:eastAsia="zh-CN"/>
        </w:rPr>
        <w:t>说明书</w:t>
      </w:r>
    </w:p>
    <w:bookmarkEnd w:id="0"/>
    <w:p>
      <w:pPr>
        <w:pStyle w:val="3"/>
        <w:spacing w:before="0"/>
      </w:pPr>
      <w:r>
        <w:t>1.化学品及企业标识</w:t>
      </w:r>
    </w:p>
    <w:p>
      <w:pPr>
        <w:pStyle w:val="3"/>
      </w:pPr>
      <w:r>
        <w:t>中文名：氯化铬(Ⅲ)，六水</w:t>
      </w:r>
    </w:p>
    <w:p>
      <w:pPr>
        <w:pStyle w:val="3"/>
        <w:spacing w:before="40" w:line="280" w:lineRule="auto"/>
        <w:ind w:right="7236"/>
      </w:pPr>
      <w:r>
        <w:rPr>
          <w:w w:val="90"/>
        </w:rPr>
        <w:t xml:space="preserve">英文名：Chromium(Ⅲ) chloride hexahydrate </w:t>
      </w:r>
      <w:r>
        <w:t>中文别名：氯化铬(Ⅲ)，六水；三氯化铬</w:t>
      </w:r>
    </w:p>
    <w:p>
      <w:pPr>
        <w:pStyle w:val="3"/>
        <w:spacing w:before="0" w:line="280" w:lineRule="auto"/>
        <w:ind w:right="5381"/>
      </w:pPr>
      <w:r>
        <w:rPr>
          <w:w w:val="90"/>
        </w:rPr>
        <w:t xml:space="preserve">英文别名：Chromium(Ⅲ) chloride hexahydrate;Chromium trichloride </w:t>
      </w:r>
      <w:r>
        <w:t>推荐用途：实验室用化验、试验及科学实验。</w:t>
      </w:r>
    </w:p>
    <w:p>
      <w:pPr>
        <w:pStyle w:val="3"/>
        <w:spacing w:before="1"/>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CSDS10060-12-5 氯化铬(Ⅲ)，六水</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214"/>
      </w:pPr>
      <w:r>
        <w:rPr>
          <w:w w:val="98"/>
        </w:rPr>
        <w:t xml:space="preserve"> </w:t>
      </w:r>
      <w:r>
        <w:rPr>
          <w:w w:val="95"/>
        </w:rPr>
        <w:t>2.1   紧急情况概述：深绿色结晶粉末。吞咽有害。过量接触需采取特殊急救措施和进行医疗随访。本品不燃。根据着火原因选择适当</w:t>
      </w:r>
      <w:r>
        <w:t>灭火剂灭火。如必要的话,戴自给式呼吸器去救火。</w:t>
      </w:r>
    </w:p>
    <w:p>
      <w:pPr>
        <w:pStyle w:val="3"/>
        <w:spacing w:before="0"/>
      </w:pPr>
      <w:r>
        <w:rPr>
          <w:w w:val="96"/>
        </w:rPr>
        <w:t xml:space="preserve"> </w:t>
      </w:r>
      <w:r>
        <w:t>2.2 GHS危险性分类：急性毒性,经口（类别4）</w:t>
      </w:r>
    </w:p>
    <w:p>
      <w:pPr>
        <w:pStyle w:val="3"/>
        <w:spacing w:before="40"/>
      </w:pPr>
      <w:r>
        <w:rPr>
          <w:w w:val="97"/>
        </w:rPr>
        <w:t xml:space="preserve"> </w:t>
      </w:r>
      <w:r>
        <w:t>2.3 GHS标记要素，包括预防性的陈述：</w:t>
      </w:r>
    </w:p>
    <w:p>
      <w:pPr>
        <w:pStyle w:val="3"/>
      </w:pPr>
      <w:r>
        <w:drawing>
          <wp:anchor distT="0" distB="0" distL="0" distR="0" simplePos="0" relativeHeight="251659264" behindDoc="0" locked="0" layoutInCell="1" allowOverlap="1">
            <wp:simplePos x="0" y="0"/>
            <wp:positionH relativeFrom="page">
              <wp:posOffset>457200</wp:posOffset>
            </wp:positionH>
            <wp:positionV relativeFrom="paragraph">
              <wp:posOffset>189865</wp:posOffset>
            </wp:positionV>
            <wp:extent cx="762000" cy="762000"/>
            <wp:effectExtent l="0" t="0" r="0" b="0"/>
            <wp:wrapTopAndBottom/>
            <wp:docPr id="10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警示词：警告</w:t>
      </w:r>
    </w:p>
    <w:p>
      <w:pPr>
        <w:pStyle w:val="3"/>
      </w:pPr>
      <w:r>
        <w:rPr>
          <w:w w:val="97"/>
        </w:rPr>
        <w:t xml:space="preserve"> </w:t>
      </w:r>
      <w:r>
        <w:t>危险信息：吞咽有害。</w:t>
      </w:r>
    </w:p>
    <w:p>
      <w:pPr>
        <w:pStyle w:val="3"/>
      </w:pPr>
      <w:r>
        <w:rPr>
          <w:w w:val="99"/>
        </w:rPr>
        <w:t xml:space="preserve"> </w:t>
      </w:r>
      <w:r>
        <w:t>预防措施：操作后彻底清洁皮肤。使用本产品时不要进食、饮水或吸烟。</w:t>
      </w:r>
    </w:p>
    <w:p>
      <w:pPr>
        <w:pStyle w:val="3"/>
        <w:spacing w:before="40"/>
      </w:pPr>
      <w:r>
        <w:rPr>
          <w:w w:val="98"/>
        </w:rPr>
        <w:t xml:space="preserve"> </w:t>
      </w:r>
      <w:r>
        <w:t>事故响应：如果吞下去了:如感觉不适。呼救解毒中心或看医生。漱口。</w:t>
      </w:r>
    </w:p>
    <w:p>
      <w:pPr>
        <w:pStyle w:val="3"/>
      </w:pPr>
      <w:r>
        <w:rPr>
          <w:w w:val="96"/>
        </w:rPr>
        <w:t xml:space="preserve"> </w:t>
      </w:r>
      <w:r>
        <w:t>安全存储：不适用。</w:t>
      </w:r>
    </w:p>
    <w:p>
      <w:pPr>
        <w:pStyle w:val="3"/>
        <w:spacing w:before="40"/>
      </w:pPr>
      <w:r>
        <w:rPr>
          <w:w w:val="96"/>
        </w:rPr>
        <w:t xml:space="preserve"> </w:t>
      </w:r>
      <w:r>
        <w:t>废弃处置：按照地方/区域/国家/国际规章处置内装物/容器。</w:t>
      </w:r>
    </w:p>
    <w:p>
      <w:pPr>
        <w:pStyle w:val="3"/>
      </w:pPr>
      <w:r>
        <w:rPr>
          <w:w w:val="94"/>
        </w:rPr>
        <w:t xml:space="preserve"> </w:t>
      </w:r>
      <w:r>
        <w:t>2.4 物理化学危险性信息：不适用</w:t>
      </w:r>
    </w:p>
    <w:p>
      <w:pPr>
        <w:pStyle w:val="3"/>
      </w:pPr>
      <w:r>
        <w:rPr>
          <w:w w:val="92"/>
        </w:rPr>
        <w:t xml:space="preserve"> </w:t>
      </w:r>
      <w:r>
        <w:t>2.5 健康危害：吞咽有害。</w:t>
      </w:r>
    </w:p>
    <w:p>
      <w:pPr>
        <w:pStyle w:val="3"/>
        <w:spacing w:before="40"/>
      </w:pPr>
      <w:r>
        <w:rPr>
          <w:w w:val="91"/>
        </w:rPr>
        <w:t xml:space="preserve"> </w:t>
      </w:r>
      <w:r>
        <w:t>2.6 环境危害：不适用</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spacing w:before="40"/>
      </w:pPr>
      <w:r>
        <w:rPr>
          <w:w w:val="96"/>
        </w:rPr>
        <w:t xml:space="preserve"> </w:t>
      </w:r>
      <w:r>
        <w:rPr>
          <w:w w:val="95"/>
        </w:rPr>
        <w:t>组成信息：纯品</w:t>
      </w:r>
    </w:p>
    <w:p>
      <w:pPr>
        <w:pStyle w:val="3"/>
        <w:tabs>
          <w:tab w:val="left" w:pos="3626"/>
          <w:tab w:val="left" w:pos="7113"/>
        </w:tabs>
        <w:spacing w:before="47"/>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0"/>
        <w:ind w:left="140"/>
      </w:pPr>
      <w:r>
        <w:t>主要成分：氯化铬，六水</w:t>
      </w:r>
      <w:r>
        <w:tab/>
      </w:r>
      <w:r>
        <w:rPr>
          <w:w w:val="95"/>
        </w:rPr>
        <w:t>10060-12-5</w:t>
      </w:r>
      <w:r>
        <w:rPr>
          <w:w w:val="95"/>
        </w:rPr>
        <w:tab/>
      </w:r>
      <w:r>
        <w:t>≤100</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0"/>
        <w:ind w:left="140"/>
      </w:pPr>
      <w:r>
        <w:t>次要成分：</w:t>
      </w:r>
    </w:p>
    <w:p>
      <w:pPr>
        <w:spacing w:before="20"/>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spacing w:before="40"/>
      </w:pPr>
      <w:r>
        <w:rPr>
          <w:w w:val="95"/>
        </w:rPr>
        <w:t xml:space="preserve">     </w:t>
      </w:r>
      <w:r>
        <w:t>吸入：如果吸入,请将患者移到新鲜空气处。如呼吸停止，进行人工呼吸。请教医生。</w:t>
      </w:r>
    </w:p>
    <w:p>
      <w:pPr>
        <w:pStyle w:val="3"/>
      </w:pPr>
      <w:r>
        <w:rPr>
          <w:w w:val="93"/>
        </w:rPr>
        <w:t xml:space="preserve">     </w:t>
      </w:r>
      <w:r>
        <w:t>皮肤接触：用肥皂和大量的水冲洗。请教医生。</w:t>
      </w:r>
    </w:p>
    <w:p>
      <w:pPr>
        <w:pStyle w:val="3"/>
      </w:pPr>
      <w:r>
        <w:rPr>
          <w:w w:val="94"/>
        </w:rPr>
        <w:t xml:space="preserve">     </w:t>
      </w:r>
      <w:r>
        <w:t>眼睛接触：用大量水彻底冲洗至少15分钟并请教医生。</w:t>
      </w:r>
    </w:p>
    <w:p>
      <w:pPr>
        <w:pStyle w:val="3"/>
        <w:spacing w:before="40"/>
      </w:pPr>
      <w:r>
        <w:rPr>
          <w:w w:val="95"/>
        </w:rPr>
        <w:t xml:space="preserve">     </w:t>
      </w:r>
      <w:r>
        <w:t>食入：切勿给失去知觉者从嘴里喂食任何东西。用水漱口。请教医生。</w:t>
      </w:r>
    </w:p>
    <w:p>
      <w:pPr>
        <w:pStyle w:val="3"/>
      </w:pPr>
      <w:r>
        <w:rPr>
          <w:w w:val="97"/>
        </w:rPr>
        <w:t xml:space="preserve"> </w:t>
      </w:r>
      <w:r>
        <w:t>4.2 主要症状和影响，急性和迟发效应：据我们所知，此化学，物理和毒性性质尚未经完整的研究。</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spacing w:after="0" w:line="67" w:lineRule="exact"/>
        <w:jc w:val="left"/>
        <w:rPr>
          <w:sz w:val="6"/>
        </w:rPr>
        <w:sectPr>
          <w:pgSz w:w="11900" w:h="16840"/>
          <w:pgMar w:top="760" w:right="600" w:bottom="700" w:left="620" w:header="0" w:footer="509" w:gutter="0"/>
          <w:cols w:space="720" w:num="1"/>
        </w:sectPr>
      </w:pPr>
    </w:p>
    <w:p>
      <w:pPr>
        <w:pStyle w:val="3"/>
        <w:spacing w:before="50"/>
      </w:pPr>
      <w:r>
        <w:t>5.消防措施</w:t>
      </w:r>
    </w:p>
    <w:p>
      <w:pPr>
        <w:pStyle w:val="3"/>
      </w:pPr>
      <w:r>
        <w:rPr>
          <w:w w:val="93"/>
        </w:rPr>
        <w:t xml:space="preserve"> </w:t>
      </w:r>
      <w:r>
        <w:t>5.1 特别危险性描述：无资料</w:t>
      </w:r>
    </w:p>
    <w:p>
      <w:pPr>
        <w:pStyle w:val="3"/>
      </w:pPr>
      <w:r>
        <w:rPr>
          <w:w w:val="97"/>
        </w:rPr>
        <w:t xml:space="preserve"> </w:t>
      </w:r>
      <w:r>
        <w:t>5.2 灭火方法或灭火剂：本品不燃。根据着火原因选择适当灭火剂灭火。</w:t>
      </w:r>
    </w:p>
    <w:p>
      <w:pPr>
        <w:pStyle w:val="3"/>
        <w:spacing w:before="40"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line="280" w:lineRule="auto"/>
        <w:ind w:right="214"/>
      </w:pPr>
      <w:r>
        <w:rPr>
          <w:w w:val="98"/>
        </w:rPr>
        <w:t xml:space="preserve"> </w:t>
      </w:r>
      <w:r>
        <w:rPr>
          <w:w w:val="95"/>
        </w:rPr>
        <w:t>6.1   作业人员的防护措施、防护设备和应急处置程序：使用个人防护用品。避免吸入蒸气、烟雾或气体。保证充分的通风。移去所有</w:t>
      </w:r>
      <w:r>
        <w:t>火源。</w:t>
      </w:r>
    </w:p>
    <w:p>
      <w:pPr>
        <w:pStyle w:val="3"/>
        <w:spacing w:before="1"/>
      </w:pPr>
      <w:r>
        <w:rPr>
          <w:w w:val="97"/>
        </w:rPr>
        <w:t xml:space="preserve"> </w:t>
      </w:r>
      <w:r>
        <w:t>6.2 环境保护措施：如能确保安全，可采取措施防止进一步的泄漏或溢出。不要让产品进入下水道。</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7.操作处置与储存</w:t>
      </w:r>
    </w:p>
    <w:p>
      <w:pPr>
        <w:pStyle w:val="3"/>
      </w:pPr>
      <w:r>
        <w:rPr>
          <w:w w:val="97"/>
        </w:rPr>
        <w:t xml:space="preserve"> </w:t>
      </w:r>
      <w:r>
        <w:t>7.1 安全处置注意事项：避免接触皮肤和眼睛。防止粉尘和气溶胶生成。在有粉尘生成的地方,提供合适的排风设备。</w:t>
      </w:r>
    </w:p>
    <w:p>
      <w:pPr>
        <w:pStyle w:val="3"/>
        <w:spacing w:line="280" w:lineRule="auto"/>
        <w:ind w:right="214"/>
      </w:pPr>
      <w:r>
        <w:rPr>
          <w:w w:val="98"/>
        </w:rPr>
        <w:t xml:space="preserve"> </w:t>
      </w:r>
      <w:r>
        <w:rPr>
          <w:w w:val="95"/>
        </w:rPr>
        <w:t>7.2   安全储存注意事项：储存于阴凉、通风的库房。远离火种、热源。防止阳光直射。包装必须密封，切勿受潮。应与氧化剂等分开</w:t>
      </w:r>
      <w:r>
        <w:t>存放，切忌混储。储区应备有合适的材料收容泄漏物。</w:t>
      </w:r>
    </w:p>
    <w:p>
      <w:pPr>
        <w:pStyle w:val="3"/>
        <w:spacing w:before="1" w:line="220" w:lineRule="exact"/>
      </w:pPr>
      <w:r>
        <w:rPr>
          <w:w w:val="91"/>
        </w:rPr>
        <w:t xml:space="preserve"> </w:t>
      </w:r>
      <w:r>
        <w:t>7.3 不兼容性：氧化剂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pPr>
      <w:r>
        <w:rPr>
          <w:w w:val="93"/>
        </w:rPr>
        <w:t xml:space="preserve"> </w:t>
      </w:r>
      <w:r>
        <w:t>8.1 作业场所职业接触限值：</w:t>
      </w:r>
    </w:p>
    <w:p>
      <w:pPr>
        <w:pStyle w:val="3"/>
        <w:spacing w:before="40"/>
      </w:pPr>
      <w:r>
        <w:rPr>
          <w:w w:val="105"/>
        </w:rPr>
        <w:t xml:space="preserve"> MAC(mg/m3)：无资料</w:t>
      </w:r>
    </w:p>
    <w:p>
      <w:pPr>
        <w:pStyle w:val="3"/>
      </w:pPr>
      <w:r>
        <w:rPr>
          <w:w w:val="100"/>
        </w:rPr>
        <w:t xml:space="preserve"> </w:t>
      </w:r>
      <w:r>
        <w:t>PC-STEL(mg/m3)：无资料</w:t>
      </w:r>
    </w:p>
    <w:p>
      <w:pPr>
        <w:pStyle w:val="3"/>
      </w:pPr>
      <w:r>
        <w:rPr>
          <w:w w:val="101"/>
        </w:rPr>
        <w:t xml:space="preserve"> </w:t>
      </w:r>
      <w:r>
        <w:t>TLV-TWA(mg/m3)：0.5[按Cr计]</w:t>
      </w:r>
    </w:p>
    <w:p>
      <w:pPr>
        <w:pStyle w:val="3"/>
        <w:spacing w:before="40"/>
      </w:pPr>
      <w:r>
        <w:rPr>
          <w:w w:val="105"/>
        </w:rPr>
        <w:t xml:space="preserve"> PC-TWA(mg/m3)：无资料</w:t>
      </w:r>
    </w:p>
    <w:p>
      <w:pPr>
        <w:pStyle w:val="3"/>
      </w:pPr>
      <w:r>
        <w:rPr>
          <w:w w:val="101"/>
        </w:rPr>
        <w:t xml:space="preserve"> </w:t>
      </w:r>
      <w:r>
        <w:t>TLV-C(mg/m3)：无资料</w:t>
      </w:r>
    </w:p>
    <w:p>
      <w:pPr>
        <w:pStyle w:val="3"/>
      </w:pPr>
      <w:r>
        <w:rPr>
          <w:w w:val="103"/>
        </w:rPr>
        <w:t xml:space="preserve"> </w:t>
      </w:r>
      <w:r>
        <w:rPr>
          <w:w w:val="105"/>
        </w:rPr>
        <w:t>TLV=STEL(mg/m3)：无资料</w:t>
      </w:r>
    </w:p>
    <w:p>
      <w:pPr>
        <w:pStyle w:val="3"/>
        <w:spacing w:before="40"/>
      </w:pPr>
      <w:r>
        <w:rPr>
          <w:w w:val="97"/>
        </w:rPr>
        <w:t xml:space="preserve"> </w:t>
      </w:r>
      <w:r>
        <w:t>8.2 检测方法：火焰原子吸收光谱法；二苯碳酰二肼分光光度法；三价铬和六价铬的分别测定。</w:t>
      </w:r>
    </w:p>
    <w:p>
      <w:pPr>
        <w:pStyle w:val="3"/>
      </w:pPr>
      <w:r>
        <w:rPr>
          <w:w w:val="97"/>
        </w:rPr>
        <w:t xml:space="preserve"> </w:t>
      </w:r>
      <w:r>
        <w:t>8.3 工程控制：生产过程密闭，加强通风。提供安全淋浴和洗眼设备。</w:t>
      </w:r>
    </w:p>
    <w:p>
      <w:pPr>
        <w:pStyle w:val="3"/>
        <w:spacing w:before="40"/>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89"/>
        </w:rPr>
        <w:t xml:space="preserve">     </w:t>
      </w:r>
      <w:r>
        <w:t>手防护：戴防化学品手套。</w:t>
      </w:r>
    </w:p>
    <w:p>
      <w:pPr>
        <w:pStyle w:val="3"/>
        <w:spacing w:before="40"/>
      </w:pPr>
      <w:r>
        <w:rPr>
          <w:w w:val="91"/>
        </w:rPr>
        <w:t xml:space="preserve">     </w:t>
      </w:r>
      <w:r>
        <w:t>眼睛防护：戴化学安全防护眼镜。</w:t>
      </w:r>
    </w:p>
    <w:p>
      <w:pPr>
        <w:pStyle w:val="3"/>
      </w:pPr>
      <w:r>
        <w:rPr>
          <w:w w:val="92"/>
        </w:rPr>
        <w:t xml:space="preserve">     </w:t>
      </w:r>
      <w:r>
        <w:t>皮肤和身体防护：穿化学品防护服。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外观与性状：暗绿色结晶或结晶性粉末，具吸湿性。</w:t>
      </w:r>
      <w:r>
        <w:tab/>
      </w:r>
      <w:r>
        <w:t>气味：无资料</w:t>
      </w:r>
    </w:p>
    <w:p>
      <w:pPr>
        <w:pStyle w:val="3"/>
        <w:tabs>
          <w:tab w:val="left" w:pos="6415"/>
        </w:tabs>
        <w:spacing w:before="8"/>
        <w:ind w:left="140"/>
      </w:pPr>
      <w:r>
        <w:rPr>
          <w:w w:val="105"/>
        </w:rPr>
        <w:t>气味阈值：无资料</w:t>
      </w:r>
      <w:r>
        <w:rPr>
          <w:w w:val="105"/>
        </w:rPr>
        <w:tab/>
      </w:r>
      <w:r>
        <w:rPr>
          <w:w w:val="105"/>
        </w:rPr>
        <w:t>pH：无资料</w:t>
      </w:r>
    </w:p>
    <w:p>
      <w:pPr>
        <w:pStyle w:val="3"/>
        <w:tabs>
          <w:tab w:val="left" w:pos="6415"/>
        </w:tabs>
        <w:spacing w:before="8"/>
        <w:ind w:left="140"/>
      </w:pPr>
      <w:r>
        <w:rPr>
          <w:w w:val="95"/>
        </w:rPr>
        <w:t>熔点/凝固点(℃)：83℃</w:t>
      </w:r>
      <w:r>
        <w:rPr>
          <w:w w:val="95"/>
        </w:rPr>
        <w:tab/>
      </w:r>
      <w:r>
        <w:t>沸点、初沸点、沸程(℃)：无资料</w:t>
      </w:r>
    </w:p>
    <w:p>
      <w:pPr>
        <w:pStyle w:val="3"/>
        <w:tabs>
          <w:tab w:val="left" w:pos="6415"/>
        </w:tabs>
        <w:spacing w:before="8"/>
        <w:ind w:left="140"/>
      </w:pPr>
      <w:r>
        <w:rPr>
          <w:w w:val="95"/>
        </w:rPr>
        <w:t>密度/相对密度(水=1)：ρ(25)1.76g/mL</w:t>
      </w:r>
      <w:r>
        <w:rPr>
          <w:w w:val="95"/>
        </w:rPr>
        <w:tab/>
      </w:r>
      <w:r>
        <w:t>蒸汽密度(空气=1)：无资料</w:t>
      </w:r>
    </w:p>
    <w:p>
      <w:pPr>
        <w:pStyle w:val="3"/>
        <w:tabs>
          <w:tab w:val="left" w:pos="6415"/>
        </w:tabs>
        <w:spacing w:before="7"/>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8"/>
        <w:ind w:left="140"/>
      </w:pPr>
      <w:r>
        <w:t>辛醇/水分配系数的对数值：无资料</w:t>
      </w:r>
      <w:r>
        <w:tab/>
      </w:r>
      <w:r>
        <w:t>闪点(℃)：NA</w:t>
      </w:r>
    </w:p>
    <w:p>
      <w:pPr>
        <w:pStyle w:val="3"/>
        <w:tabs>
          <w:tab w:val="left" w:pos="6415"/>
        </w:tabs>
        <w:spacing w:before="8"/>
        <w:ind w:left="140"/>
      </w:pPr>
      <w:r>
        <w:t>自燃温度(℃)：无资料</w:t>
      </w:r>
      <w:r>
        <w:tab/>
      </w:r>
      <w:r>
        <w:t>爆炸上限%（V/V）：无资料</w:t>
      </w:r>
    </w:p>
    <w:p>
      <w:pPr>
        <w:pStyle w:val="3"/>
        <w:tabs>
          <w:tab w:val="left" w:pos="6415"/>
        </w:tabs>
        <w:spacing w:before="7"/>
        <w:ind w:left="140"/>
      </w:pPr>
      <w:r>
        <w:t>溶解性：溶于水、乙醇，微溶于丙酮，不溶于乙醚。</w:t>
      </w:r>
      <w:r>
        <w:tab/>
      </w:r>
      <w:r>
        <w:t>爆炸下限%（V/V）：无资料</w:t>
      </w:r>
    </w:p>
    <w:p>
      <w:pPr>
        <w:pStyle w:val="3"/>
        <w:tabs>
          <w:tab w:val="left" w:pos="6415"/>
        </w:tabs>
        <w:spacing w:before="8"/>
        <w:ind w:left="140"/>
      </w:pPr>
      <w:r>
        <w:t>易燃性（固体、气体）：无资料</w:t>
      </w:r>
      <w:r>
        <w:tab/>
      </w:r>
      <w:r>
        <w:t>蒸发速率：无资料</w:t>
      </w:r>
    </w:p>
    <w:p>
      <w:pPr>
        <w:spacing w:before="20"/>
        <w:ind w:left="100" w:right="0" w:firstLine="0"/>
        <w:jc w:val="left"/>
        <w:rPr>
          <w:sz w:val="6"/>
        </w:rPr>
      </w:pPr>
      <w:r>
        <w:rPr>
          <w:w w:val="41"/>
          <w:sz w:val="6"/>
        </w:rPr>
        <w:t xml:space="preserve"> </w:t>
      </w:r>
    </w:p>
    <w:p>
      <w:pPr>
        <w:pStyle w:val="3"/>
        <w:spacing w:before="8"/>
        <w:ind w:left="0"/>
        <w:rPr>
          <w:sz w:val="5"/>
        </w:rPr>
      </w:pPr>
    </w:p>
    <w:p>
      <w:pPr>
        <w:pStyle w:val="3"/>
        <w:spacing w:before="1"/>
      </w:pPr>
      <w:r>
        <w:rPr>
          <w:w w:val="95"/>
        </w:rPr>
        <w:t>10.稳定性和反应性</w:t>
      </w:r>
    </w:p>
    <w:p>
      <w:pPr>
        <w:pStyle w:val="3"/>
      </w:pPr>
      <w:r>
        <w:rPr>
          <w:w w:val="89"/>
        </w:rPr>
        <w:t xml:space="preserve"> </w:t>
      </w:r>
      <w:r>
        <w:rPr>
          <w:w w:val="90"/>
        </w:rPr>
        <w:t>10.1</w:t>
      </w:r>
      <w:r>
        <w:rPr>
          <w:spacing w:val="-3"/>
          <w:w w:val="90"/>
        </w:rPr>
        <w:t xml:space="preserve"> 稳定性：稳定</w:t>
      </w:r>
    </w:p>
    <w:p>
      <w:pPr>
        <w:pStyle w:val="3"/>
      </w:pPr>
      <w:r>
        <w:rPr>
          <w:w w:val="91"/>
        </w:rPr>
        <w:t xml:space="preserve"> </w:t>
      </w:r>
      <w:r>
        <w:t>10.2 危险反应：无资料</w:t>
      </w:r>
    </w:p>
    <w:p>
      <w:pPr>
        <w:pStyle w:val="3"/>
        <w:spacing w:before="40"/>
      </w:pPr>
      <w:r>
        <w:rPr>
          <w:w w:val="93"/>
        </w:rPr>
        <w:t xml:space="preserve"> </w:t>
      </w:r>
      <w:r>
        <w:t>10.3 应避免的条件：潮湿空气</w:t>
      </w:r>
    </w:p>
    <w:p>
      <w:pPr>
        <w:pStyle w:val="3"/>
      </w:pPr>
      <w:r>
        <w:rPr>
          <w:w w:val="94"/>
        </w:rPr>
        <w:t xml:space="preserve"> </w:t>
      </w:r>
      <w:r>
        <w:t>10.4 不相容物质：强氧化剂、水蒸汽。</w:t>
      </w:r>
    </w:p>
    <w:p>
      <w:pPr>
        <w:pStyle w:val="3"/>
        <w:spacing w:before="40"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11.毒理学信息</w:t>
      </w:r>
    </w:p>
    <w:p>
      <w:pPr>
        <w:pStyle w:val="3"/>
      </w:pPr>
      <w:r>
        <w:rPr>
          <w:w w:val="93"/>
        </w:rPr>
        <w:t xml:space="preserve"> </w:t>
      </w:r>
      <w:r>
        <w:t>11.1 急性毒性：半致死剂量(LD50)经口-大鼠-1,790mg/kg</w:t>
      </w:r>
    </w:p>
    <w:p>
      <w:pPr>
        <w:pStyle w:val="3"/>
      </w:pPr>
      <w:r>
        <w:rPr>
          <w:w w:val="93"/>
        </w:rPr>
        <w:t xml:space="preserve"> </w:t>
      </w:r>
      <w:r>
        <w:rPr>
          <w:w w:val="95"/>
        </w:rPr>
        <w:t>11.2</w:t>
      </w:r>
      <w:r>
        <w:rPr>
          <w:spacing w:val="-7"/>
          <w:w w:val="95"/>
        </w:rPr>
        <w:t xml:space="preserve"> 皮肤刺激或腐蚀：无资料</w:t>
      </w:r>
    </w:p>
    <w:p>
      <w:pPr>
        <w:pStyle w:val="3"/>
        <w:spacing w:before="40"/>
      </w:pPr>
      <w:r>
        <w:rPr>
          <w:w w:val="93"/>
        </w:rPr>
        <w:t xml:space="preserve"> </w:t>
      </w:r>
      <w:r>
        <w:rPr>
          <w:w w:val="95"/>
        </w:rPr>
        <w:t>11.3</w:t>
      </w:r>
      <w:r>
        <w:rPr>
          <w:spacing w:val="-7"/>
          <w:w w:val="95"/>
        </w:rPr>
        <w:t xml:space="preserve"> 眼睛刺激和腐蚀：无资料</w:t>
      </w:r>
    </w:p>
    <w:p>
      <w:pPr>
        <w:pStyle w:val="3"/>
      </w:pPr>
      <w:r>
        <w:rPr>
          <w:w w:val="93"/>
        </w:rPr>
        <w:t xml:space="preserve"> </w:t>
      </w:r>
      <w:r>
        <w:rPr>
          <w:w w:val="95"/>
        </w:rPr>
        <w:t>11.4</w:t>
      </w:r>
      <w:r>
        <w:rPr>
          <w:spacing w:val="-7"/>
          <w:w w:val="95"/>
        </w:rPr>
        <w:t xml:space="preserve"> 呼吸或皮肤过敏：无资料</w:t>
      </w:r>
    </w:p>
    <w:p>
      <w:pPr>
        <w:spacing w:after="0"/>
        <w:sectPr>
          <w:pgSz w:w="11900" w:h="16840"/>
          <w:pgMar w:top="760" w:right="600" w:bottom="700" w:left="620" w:header="0" w:footer="509" w:gutter="0"/>
          <w:cols w:space="720" w:num="1"/>
        </w:sectPr>
      </w:pPr>
    </w:p>
    <w:p>
      <w:pPr>
        <w:pStyle w:val="3"/>
        <w:spacing w:before="50"/>
        <w:jc w:val="both"/>
      </w:pPr>
      <w:r>
        <w:rPr>
          <w:w w:val="93"/>
        </w:rPr>
        <w:t xml:space="preserve"> </w:t>
      </w:r>
      <w:r>
        <w:t>11.5 生殖细胞突变性：无资料</w:t>
      </w:r>
    </w:p>
    <w:p>
      <w:pPr>
        <w:pStyle w:val="3"/>
        <w:jc w:val="both"/>
      </w:pPr>
      <w:r>
        <w:rPr>
          <w:w w:val="98"/>
        </w:rPr>
        <w:t xml:space="preserve"> </w:t>
      </w:r>
      <w:r>
        <w:t>11.6 致癌性：美国工业卫生会议(ACGIH)：未分类为人类致癌物。</w:t>
      </w:r>
    </w:p>
    <w:p>
      <w:pPr>
        <w:pStyle w:val="3"/>
        <w:jc w:val="both"/>
      </w:pPr>
      <w:r>
        <w:rPr>
          <w:w w:val="97"/>
        </w:rPr>
        <w:t xml:space="preserve"> </w:t>
      </w:r>
      <w:r>
        <w:rPr>
          <w:w w:val="95"/>
        </w:rPr>
        <w:t>11.7 生殖毒性：小鼠腹腔内最低中毒剂量(TDL0)：134mg/kg(孕8天)，胚胎细胞学改变(包括体细胞遗传物质)；中枢神经系统发育异常</w:t>
      </w:r>
    </w:p>
    <w:p>
      <w:pPr>
        <w:pStyle w:val="3"/>
        <w:spacing w:before="40"/>
        <w:jc w:val="both"/>
      </w:pPr>
      <w:r>
        <w:t>。</w:t>
      </w:r>
    </w:p>
    <w:p>
      <w:pPr>
        <w:pStyle w:val="3"/>
        <w:jc w:val="both"/>
      </w:pPr>
      <w:r>
        <w:rPr>
          <w:w w:val="95"/>
        </w:rPr>
        <w:t xml:space="preserve"> 11.8 特异性靶器官系统毒性（一次接触）：无资料</w:t>
      </w:r>
    </w:p>
    <w:p>
      <w:pPr>
        <w:pStyle w:val="3"/>
        <w:spacing w:before="40"/>
        <w:jc w:val="both"/>
      </w:pPr>
      <w:r>
        <w:rPr>
          <w:w w:val="95"/>
        </w:rPr>
        <w:t xml:space="preserve"> 11.9 特异性靶器官系统毒性（反复接触）：无资料</w:t>
      </w:r>
    </w:p>
    <w:p>
      <w:pPr>
        <w:pStyle w:val="3"/>
        <w:jc w:val="both"/>
      </w:pPr>
      <w:r>
        <w:rPr>
          <w:w w:val="91"/>
        </w:rPr>
        <w:t xml:space="preserve"> </w:t>
      </w:r>
      <w:r>
        <w:rPr>
          <w:w w:val="90"/>
        </w:rPr>
        <w:t>11.10 吸入危险：无资料</w:t>
      </w:r>
    </w:p>
    <w:p>
      <w:pPr>
        <w:pStyle w:val="3"/>
        <w:jc w:val="both"/>
      </w:pPr>
      <w:r>
        <w:rPr>
          <w:w w:val="91"/>
        </w:rPr>
        <w:t xml:space="preserve"> </w:t>
      </w:r>
      <w:r>
        <w:rPr>
          <w:w w:val="90"/>
        </w:rPr>
        <w:t>11.11 潜在的健康危险：</w:t>
      </w:r>
    </w:p>
    <w:p>
      <w:pPr>
        <w:pStyle w:val="3"/>
        <w:spacing w:before="40"/>
        <w:jc w:val="both"/>
      </w:pPr>
      <w:r>
        <w:rPr>
          <w:w w:val="98"/>
        </w:rPr>
        <w:t xml:space="preserve"> </w:t>
      </w:r>
      <w:r>
        <w:t>吸入：吸入可能有害。可能引起呼吸道刺激。</w:t>
      </w:r>
    </w:p>
    <w:p>
      <w:pPr>
        <w:pStyle w:val="3"/>
        <w:jc w:val="both"/>
      </w:pPr>
      <w:r>
        <w:rPr>
          <w:w w:val="97"/>
        </w:rPr>
        <w:t xml:space="preserve"> </w:t>
      </w:r>
      <w:r>
        <w:t>摄入：如服入是有害的。</w:t>
      </w:r>
    </w:p>
    <w:p>
      <w:pPr>
        <w:pStyle w:val="3"/>
        <w:jc w:val="both"/>
      </w:pPr>
      <w:r>
        <w:rPr>
          <w:w w:val="98"/>
        </w:rPr>
        <w:t xml:space="preserve"> </w:t>
      </w:r>
      <w:r>
        <w:t>皮肤：如果通过皮肤吸收可能是有害的。造成皮肤刺激。</w:t>
      </w:r>
    </w:p>
    <w:p>
      <w:pPr>
        <w:pStyle w:val="3"/>
        <w:spacing w:before="40" w:line="220" w:lineRule="exact"/>
        <w:jc w:val="both"/>
      </w:pPr>
      <w:r>
        <w:rPr>
          <w:w w:val="97"/>
        </w:rPr>
        <w:t xml:space="preserve"> </w:t>
      </w:r>
      <w:r>
        <w:t>眼睛：造成严重眼刺激。</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12.生态学信息</w:t>
      </w:r>
    </w:p>
    <w:p>
      <w:pPr>
        <w:pStyle w:val="3"/>
        <w:jc w:val="both"/>
      </w:pPr>
      <w:r>
        <w:rPr>
          <w:w w:val="91"/>
        </w:rPr>
        <w:t xml:space="preserve"> </w:t>
      </w:r>
      <w:r>
        <w:t>12.1 生态毒性：无资料</w:t>
      </w:r>
    </w:p>
    <w:p>
      <w:pPr>
        <w:pStyle w:val="3"/>
        <w:spacing w:before="40"/>
        <w:jc w:val="both"/>
      </w:pPr>
      <w:r>
        <w:rPr>
          <w:w w:val="93"/>
        </w:rPr>
        <w:t xml:space="preserve"> </w:t>
      </w:r>
      <w:r>
        <w:t>12.2 持久性和降解性：无资料</w:t>
      </w:r>
    </w:p>
    <w:p>
      <w:pPr>
        <w:pStyle w:val="3"/>
        <w:jc w:val="both"/>
      </w:pPr>
      <w:r>
        <w:rPr>
          <w:w w:val="93"/>
        </w:rPr>
        <w:t xml:space="preserve"> </w:t>
      </w:r>
      <w:r>
        <w:t>12.3 潜在的生物累积性：无资料</w:t>
      </w:r>
    </w:p>
    <w:p>
      <w:pPr>
        <w:pStyle w:val="3"/>
        <w:jc w:val="both"/>
      </w:pPr>
      <w:r>
        <w:rPr>
          <w:w w:val="93"/>
        </w:rPr>
        <w:t xml:space="preserve"> </w:t>
      </w:r>
      <w:r>
        <w:t>12.4 土壤中的迁移性：无资料</w:t>
      </w:r>
    </w:p>
    <w:p>
      <w:pPr>
        <w:pStyle w:val="3"/>
        <w:spacing w:before="40" w:line="220" w:lineRule="exact"/>
        <w:jc w:val="both"/>
      </w:pPr>
      <w:r>
        <w:rPr>
          <w:w w:val="97"/>
        </w:rPr>
        <w:t xml:space="preserve"> </w:t>
      </w:r>
      <w:r>
        <w:t>12.5 其它不良影响：该物质对环境有危害，建议不要让其进入环境。应特别注意对水体的污染。</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13.废弃处置</w:t>
      </w:r>
    </w:p>
    <w:p>
      <w:pPr>
        <w:pStyle w:val="3"/>
        <w:jc w:val="both"/>
      </w:pPr>
      <w:r>
        <w:rPr>
          <w:w w:val="96"/>
        </w:rPr>
        <w:t xml:space="preserve"> </w:t>
      </w:r>
      <w:r>
        <w:t>13.1 残余废弃物处置方法：将剩余的和未回收的溶液交给处理公司。</w:t>
      </w:r>
    </w:p>
    <w:p>
      <w:pPr>
        <w:pStyle w:val="3"/>
        <w:spacing w:before="40"/>
        <w:jc w:val="both"/>
      </w:pPr>
      <w:r>
        <w:rPr>
          <w:w w:val="95"/>
        </w:rPr>
        <w:t xml:space="preserve"> </w:t>
      </w:r>
      <w:r>
        <w:t>13.2 受污染的容器和包装：按未用产品处置</w:t>
      </w:r>
    </w:p>
    <w:p>
      <w:pPr>
        <w:pStyle w:val="3"/>
        <w:spacing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14.运输信息</w:t>
      </w:r>
    </w:p>
    <w:p>
      <w:pPr>
        <w:pStyle w:val="3"/>
        <w:jc w:val="both"/>
      </w:pPr>
      <w:r>
        <w:rPr>
          <w:w w:val="104"/>
        </w:rPr>
        <w:t xml:space="preserve">  </w:t>
      </w:r>
      <w:r>
        <w:rPr>
          <w:w w:val="105"/>
        </w:rPr>
        <w:t>危规号CN：NA</w:t>
      </w:r>
    </w:p>
    <w:p>
      <w:pPr>
        <w:pStyle w:val="3"/>
        <w:spacing w:before="40"/>
        <w:jc w:val="both"/>
      </w:pPr>
      <w:r>
        <w:rPr>
          <w:w w:val="98"/>
        </w:rPr>
        <w:t xml:space="preserve">  </w:t>
      </w:r>
      <w:r>
        <w:t>联合国危险货物编号：NA</w:t>
      </w:r>
    </w:p>
    <w:p>
      <w:pPr>
        <w:pStyle w:val="3"/>
        <w:jc w:val="both"/>
      </w:pPr>
      <w:r>
        <w:rPr>
          <w:w w:val="95"/>
        </w:rPr>
        <w:t xml:space="preserve">  </w:t>
      </w:r>
      <w:r>
        <w:t>联合国运输名称：非危险货物</w:t>
      </w:r>
    </w:p>
    <w:p>
      <w:pPr>
        <w:pStyle w:val="3"/>
        <w:spacing w:before="40"/>
        <w:jc w:val="both"/>
      </w:pPr>
      <w:r>
        <w:rPr>
          <w:w w:val="98"/>
        </w:rPr>
        <w:t xml:space="preserve">  </w:t>
      </w:r>
      <w:r>
        <w:t>联合国危险性分类：NA</w:t>
      </w:r>
    </w:p>
    <w:p>
      <w:pPr>
        <w:pStyle w:val="3"/>
        <w:jc w:val="both"/>
      </w:pPr>
      <w:r>
        <w:rPr>
          <w:w w:val="92"/>
        </w:rPr>
        <w:t xml:space="preserve">  </w:t>
      </w:r>
      <w:r>
        <w:t>包装组：无资料</w:t>
      </w:r>
    </w:p>
    <w:p>
      <w:pPr>
        <w:pStyle w:val="3"/>
        <w:jc w:val="both"/>
      </w:pPr>
      <w:r>
        <w:rPr>
          <w:w w:val="93"/>
        </w:rPr>
        <w:t xml:space="preserve">  </w:t>
      </w:r>
      <w:r>
        <w:t>包装方法：无资料</w:t>
      </w:r>
    </w:p>
    <w:p>
      <w:pPr>
        <w:pStyle w:val="3"/>
        <w:spacing w:before="40"/>
        <w:jc w:val="both"/>
      </w:pPr>
      <w:r>
        <w:rPr>
          <w:w w:val="93"/>
        </w:rPr>
        <w:t xml:space="preserve">  </w:t>
      </w:r>
      <w:r>
        <w:t>海洋污染物（是/否）：否</w:t>
      </w:r>
    </w:p>
    <w:p>
      <w:pPr>
        <w:pStyle w:val="3"/>
        <w:spacing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15.法规信息</w:t>
      </w:r>
    </w:p>
    <w:p>
      <w:pPr>
        <w:pStyle w:val="3"/>
        <w:jc w:val="both"/>
      </w:pPr>
      <w:r>
        <w:t>下列法律法规和标准，对化学品的安全使用、储存、运输、装卸、分类和标志等方面均作了相应的规定：</w:t>
      </w:r>
    </w:p>
    <w:p>
      <w:pPr>
        <w:pStyle w:val="3"/>
        <w:spacing w:before="40"/>
        <w:jc w:val="both"/>
      </w:pPr>
      <w:r>
        <w:rPr>
          <w:w w:val="88"/>
        </w:rPr>
        <w:t xml:space="preserve">        </w:t>
      </w:r>
      <w:r>
        <w:t>《危险化学品名录》（2015版）：未列入</w:t>
      </w:r>
    </w:p>
    <w:p>
      <w:pPr>
        <w:pStyle w:val="3"/>
        <w:jc w:val="both"/>
      </w:pPr>
      <w:r>
        <w:rPr>
          <w:w w:val="89"/>
        </w:rPr>
        <w:t xml:space="preserve">        </w:t>
      </w:r>
      <w:r>
        <w:t>《易制毒化学品名录》（2002版）：未列入</w:t>
      </w:r>
    </w:p>
    <w:p>
      <w:pPr>
        <w:pStyle w:val="3"/>
        <w:spacing w:before="40"/>
        <w:jc w:val="both"/>
      </w:pPr>
      <w:r>
        <w:rPr>
          <w:w w:val="90"/>
        </w:rPr>
        <w:t xml:space="preserve">        </w:t>
      </w:r>
      <w:r>
        <w:t>《易制爆危险化学品名录》（2011版）：未列入</w:t>
      </w:r>
    </w:p>
    <w:p>
      <w:pPr>
        <w:pStyle w:val="3"/>
        <w:jc w:val="both"/>
      </w:pPr>
      <w:r>
        <w:rPr>
          <w:w w:val="92"/>
        </w:rPr>
        <w:t xml:space="preserve">        </w:t>
      </w:r>
      <w:r>
        <w:t>化学品分类、警示标签和警示性说明规范系列标准（GB 20576～GB 20602）</w:t>
      </w:r>
    </w:p>
    <w:p>
      <w:pPr>
        <w:pStyle w:val="3"/>
        <w:spacing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spacing w:before="40"/>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spacing w:before="40"/>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077C053F"/>
    <w:rsid w:val="077C053F"/>
    <w:rsid w:val="160474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2023-11-02T09:03:00Z</dcterms:created>
  <dc:creator>刘文丹。</dc:creator>
  <cp:lastModifiedBy>刘文丹。</cp:lastModifiedBy>
  <dcterms:modified xsi:type="dcterms:W3CDTF">2023-11-02T09:03:39Z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FD56610344BD43C592E09E8F3799CBA7_11</vt:lpwstr>
  </property>
</Properties>
</file>