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numId w:val="0"/>
        </w:numPr>
        <w:bidi w:val="0"/>
        <w:ind w:leftChars="0" w:right="0" w:rightChars="0"/>
        <w:jc w:val="center"/>
        <w:rPr>
          <w:rFonts w:hint="eastAsia"/>
          <w:lang w:eastAsia="zh-CN"/>
        </w:rPr>
      </w:pPr>
      <w:bookmarkStart w:id="0" w:name="_GoBack"/>
      <w:r>
        <w:t>甲酰胺</w:t>
      </w:r>
      <w:r>
        <w:rPr>
          <w:rFonts w:hint="eastAsia"/>
          <w:lang w:eastAsia="zh-CN"/>
        </w:rPr>
        <w:t>说明书</w:t>
      </w:r>
    </w:p>
    <w:bookmarkEnd w:id="0"/>
    <w:p>
      <w:pPr>
        <w:pStyle w:val="3"/>
        <w:spacing w:before="0" w:line="280" w:lineRule="auto"/>
        <w:ind w:right="9013"/>
      </w:pPr>
      <w:r>
        <w:rPr>
          <w:w w:val="95"/>
        </w:rPr>
        <w:t>1.化学品及企业标识</w:t>
      </w:r>
      <w:r>
        <w:t>中文名：甲酰胺</w:t>
      </w:r>
    </w:p>
    <w:p>
      <w:pPr>
        <w:pStyle w:val="3"/>
        <w:spacing w:before="0" w:line="280" w:lineRule="auto"/>
        <w:ind w:right="9037"/>
      </w:pPr>
      <w:r>
        <w:t>英文名：Formamide 中文别名：甲酰胺</w:t>
      </w:r>
    </w:p>
    <w:p>
      <w:pPr>
        <w:pStyle w:val="3"/>
        <w:spacing w:before="1"/>
      </w:pPr>
      <w:r>
        <w:t>英文别名：Formamide;Formic amide</w:t>
      </w:r>
    </w:p>
    <w:p>
      <w:pPr>
        <w:pStyle w:val="3"/>
      </w:pPr>
      <w:r>
        <w:t>推荐用途：实验室用化验、试验及科学实验。</w:t>
      </w:r>
    </w:p>
    <w:p>
      <w:pPr>
        <w:pStyle w:val="3"/>
        <w:spacing w:before="40"/>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0"/>
      </w:pPr>
      <w:r>
        <w:t>邮编：200002</w:t>
      </w:r>
    </w:p>
    <w:p>
      <w:pPr>
        <w:pStyle w:val="3"/>
        <w:spacing w:before="40"/>
      </w:pPr>
      <w:r>
        <w:t>传真：86-021-63214037</w:t>
      </w:r>
    </w:p>
    <w:p>
      <w:pPr>
        <w:pStyle w:val="3"/>
      </w:pPr>
      <w:r>
        <w:t>应急电话：86-021-62679090</w:t>
      </w:r>
    </w:p>
    <w:p>
      <w:pPr>
        <w:pStyle w:val="3"/>
        <w:spacing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1" w:line="220" w:lineRule="exact"/>
      </w:pPr>
      <w:r>
        <w:t>安全技术说明书编码：SCRC CSDS75-12-7 甲酰胺</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line="280" w:lineRule="auto"/>
        <w:ind w:right="171"/>
        <w:jc w:val="both"/>
      </w:pPr>
      <w:r>
        <w:rPr>
          <w:w w:val="97"/>
        </w:rPr>
        <w:t xml:space="preserve"> </w:t>
      </w:r>
      <w:r>
        <w:rPr>
          <w:w w:val="95"/>
        </w:rPr>
        <w:t>2.1</w:t>
      </w:r>
      <w:r>
        <w:rPr>
          <w:spacing w:val="-1"/>
          <w:w w:val="95"/>
        </w:rPr>
        <w:t xml:space="preserve">   紧急情况概述：无色透明油状液体。,有吸湿性。皮肤接触或吸入可能有害。怀疑会致癌。可能对生育能力或胎儿造成伤害。长期</w:t>
      </w:r>
      <w:r>
        <w:rPr>
          <w:w w:val="95"/>
        </w:rPr>
        <w:t xml:space="preserve">或反复暴露、如果吞服、可能会引起对器官(血液)的损害。过量接触需采取特殊急救措施和进行医疗随访。用雾状水、抗溶性泡沫、    </w:t>
      </w:r>
      <w:r>
        <w:t>干粉、二氧化碳、砂土灭火。如必要的话,戴自给式呼吸器去救火。</w:t>
      </w:r>
    </w:p>
    <w:p>
      <w:pPr>
        <w:pStyle w:val="3"/>
        <w:spacing w:before="1"/>
      </w:pPr>
      <w:r>
        <w:rPr>
          <w:w w:val="98"/>
        </w:rPr>
        <w:t xml:space="preserve"> </w:t>
      </w:r>
      <w:r>
        <w:t>2.2</w:t>
      </w:r>
      <w:r>
        <w:rPr>
          <w:spacing w:val="-52"/>
        </w:rPr>
        <w:t xml:space="preserve"> </w:t>
      </w:r>
      <w:r>
        <w:t>GHS危险性分类：急性毒性,吸入（类别5）急性毒性,经皮（类别5）致癌性（类别2）生殖毒性（类别1B）特异性靶器官系统毒性</w:t>
      </w:r>
    </w:p>
    <w:p>
      <w:pPr>
        <w:pStyle w:val="3"/>
      </w:pPr>
      <w:r>
        <w:t>（反复接触）,经口（类别2）,血液</w:t>
      </w:r>
    </w:p>
    <w:p>
      <w:pPr>
        <w:pStyle w:val="3"/>
      </w:pPr>
      <w:r>
        <w:rPr>
          <w:w w:val="97"/>
        </w:rPr>
        <w:t xml:space="preserve"> </w:t>
      </w:r>
      <w:r>
        <w:t>2.3 GHS标记要素，包括预防性的陈述：</w:t>
      </w:r>
    </w:p>
    <w:p>
      <w:pPr>
        <w:pStyle w:val="3"/>
        <w:spacing w:before="40"/>
      </w:pPr>
      <w:r>
        <w:drawing>
          <wp:anchor distT="0" distB="0" distL="0" distR="0" simplePos="0" relativeHeight="251659264" behindDoc="0" locked="0" layoutInCell="1" allowOverlap="1">
            <wp:simplePos x="0" y="0"/>
            <wp:positionH relativeFrom="page">
              <wp:posOffset>457200</wp:posOffset>
            </wp:positionH>
            <wp:positionV relativeFrom="paragraph">
              <wp:posOffset>190500</wp:posOffset>
            </wp:positionV>
            <wp:extent cx="762000" cy="762000"/>
            <wp:effectExtent l="0" t="0" r="0" b="0"/>
            <wp:wrapTopAndBottom/>
            <wp:docPr id="81"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jpeg"/>
                    <pic:cNvPicPr>
                      <a:picLocks noChangeAspect="1"/>
                    </pic:cNvPicPr>
                  </pic:nvPicPr>
                  <pic:blipFill>
                    <a:blip r:embed="rId7"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警示词：危险</w:t>
      </w:r>
    </w:p>
    <w:p>
      <w:pPr>
        <w:pStyle w:val="3"/>
        <w:spacing w:line="280" w:lineRule="auto"/>
        <w:ind w:right="280"/>
      </w:pPr>
      <w:r>
        <w:rPr>
          <w:w w:val="99"/>
        </w:rPr>
        <w:t xml:space="preserve"> </w:t>
      </w:r>
      <w:r>
        <w:rPr>
          <w:spacing w:val="-1"/>
          <w:w w:val="95"/>
        </w:rPr>
        <w:t xml:space="preserve">危险信息：皮肤接触或吸入可能有害。怀疑会致癌。可能对生育能力或胎儿造成伤害。长期或反复暴露、如果吞服、可能会引起对     </w:t>
      </w:r>
      <w:r>
        <w:t>器官(血液)的损害。</w:t>
      </w:r>
    </w:p>
    <w:p>
      <w:pPr>
        <w:pStyle w:val="3"/>
        <w:spacing w:before="0"/>
      </w:pPr>
      <w:r>
        <w:rPr>
          <w:w w:val="98"/>
        </w:rPr>
        <w:t xml:space="preserve"> </w:t>
      </w:r>
      <w:r>
        <w:t>预防措施：在使用前获取特别指示。在读懂所有安全防范措施之前切勿操作。不要吸入粉尘/烟/气体/烟雾/蒸汽/喷雾。戴防护手套</w:t>
      </w:r>
    </w:p>
    <w:p>
      <w:pPr>
        <w:pStyle w:val="3"/>
        <w:spacing w:before="40"/>
      </w:pPr>
      <w:r>
        <w:t>/穿防护服/戴护目镜/戴面罩。</w:t>
      </w:r>
    </w:p>
    <w:p>
      <w:pPr>
        <w:pStyle w:val="3"/>
      </w:pPr>
      <w:r>
        <w:rPr>
          <w:w w:val="97"/>
        </w:rPr>
        <w:t xml:space="preserve"> </w:t>
      </w:r>
      <w:r>
        <w:t>事故响应：如接触到或有疑虑：求医/就诊。</w:t>
      </w:r>
    </w:p>
    <w:p>
      <w:pPr>
        <w:pStyle w:val="3"/>
        <w:spacing w:before="40"/>
      </w:pPr>
      <w:r>
        <w:rPr>
          <w:w w:val="97"/>
        </w:rPr>
        <w:t xml:space="preserve"> </w:t>
      </w:r>
      <w:r>
        <w:t>安全存储：存放处须加锁。</w:t>
      </w:r>
    </w:p>
    <w:p>
      <w:pPr>
        <w:pStyle w:val="3"/>
      </w:pPr>
      <w:r>
        <w:rPr>
          <w:w w:val="96"/>
        </w:rPr>
        <w:t xml:space="preserve"> </w:t>
      </w:r>
      <w:r>
        <w:t>废弃处置：按照地方/区域/国家/国际规章处置内装物/容器。</w:t>
      </w:r>
    </w:p>
    <w:p>
      <w:pPr>
        <w:pStyle w:val="3"/>
      </w:pPr>
      <w:r>
        <w:rPr>
          <w:w w:val="94"/>
        </w:rPr>
        <w:t xml:space="preserve"> </w:t>
      </w:r>
      <w:r>
        <w:t>2.4 物理化学危险性信息：不适用</w:t>
      </w:r>
    </w:p>
    <w:p>
      <w:pPr>
        <w:pStyle w:val="3"/>
        <w:spacing w:before="40" w:line="280" w:lineRule="auto"/>
        <w:ind w:right="214"/>
      </w:pPr>
      <w:r>
        <w:rPr>
          <w:w w:val="98"/>
        </w:rPr>
        <w:t xml:space="preserve"> </w:t>
      </w:r>
      <w:r>
        <w:rPr>
          <w:w w:val="95"/>
        </w:rPr>
        <w:t>2.5</w:t>
      </w:r>
      <w:r>
        <w:rPr>
          <w:spacing w:val="-1"/>
          <w:w w:val="95"/>
        </w:rPr>
        <w:t xml:space="preserve">   健康危害：皮肤接触或吸入可能有害。怀疑会致癌。可能对生育能力或胎儿造成伤害。长期或反复暴露、如果吞服、可能会引起</w:t>
      </w:r>
      <w:r>
        <w:t>对器官(血液)的损害。</w:t>
      </w:r>
    </w:p>
    <w:p>
      <w:pPr>
        <w:pStyle w:val="3"/>
        <w:spacing w:before="0"/>
      </w:pPr>
      <w:r>
        <w:rPr>
          <w:w w:val="91"/>
        </w:rPr>
        <w:t xml:space="preserve"> </w:t>
      </w:r>
      <w:r>
        <w:rPr>
          <w:w w:val="90"/>
        </w:rPr>
        <w:t>2.6 环境危害：不适用</w:t>
      </w:r>
    </w:p>
    <w:p>
      <w:pPr>
        <w:pStyle w:val="3"/>
        <w:spacing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spacing w:before="40"/>
      </w:pPr>
      <w:r>
        <w:rPr>
          <w:w w:val="96"/>
        </w:rPr>
        <w:t xml:space="preserve"> </w:t>
      </w:r>
      <w:r>
        <w:rPr>
          <w:w w:val="95"/>
        </w:rPr>
        <w:t>组成信息：纯品</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tabs>
          <w:tab w:val="left" w:pos="3626"/>
          <w:tab w:val="left" w:pos="7113"/>
        </w:tabs>
        <w:spacing w:before="1"/>
        <w:ind w:left="140"/>
      </w:pPr>
      <w:r>
        <w:t>主要成分：甲酰胺</w:t>
      </w:r>
      <w:r>
        <w:tab/>
      </w:r>
      <w:r>
        <w:rPr>
          <w:w w:val="95"/>
        </w:rPr>
        <w:t>75-12-7</w:t>
      </w:r>
      <w:r>
        <w:rPr>
          <w:w w:val="95"/>
        </w:rPr>
        <w:tab/>
      </w:r>
      <w:r>
        <w:t>≤100</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spacing w:before="1"/>
        <w:ind w:left="140"/>
      </w:pPr>
      <w:r>
        <w:t>次要成分：</w:t>
      </w:r>
    </w:p>
    <w:p>
      <w:pPr>
        <w:spacing w:before="19"/>
        <w:ind w:left="100" w:right="0" w:firstLine="0"/>
        <w:jc w:val="left"/>
        <w:rPr>
          <w:sz w:val="6"/>
        </w:rPr>
      </w:pPr>
      <w:r>
        <w:rPr>
          <w:w w:val="41"/>
          <w:sz w:val="6"/>
        </w:rPr>
        <w:t xml:space="preserve"> </w:t>
      </w:r>
    </w:p>
    <w:p>
      <w:pPr>
        <w:pStyle w:val="3"/>
        <w:spacing w:before="9"/>
        <w:ind w:left="0"/>
        <w:rPr>
          <w:sz w:val="5"/>
        </w:rPr>
      </w:pPr>
    </w:p>
    <w:p>
      <w:pPr>
        <w:pStyle w:val="3"/>
        <w:spacing w:before="0"/>
      </w:pPr>
      <w:r>
        <w:t>4.急救措施</w:t>
      </w:r>
    </w:p>
    <w:p>
      <w:pPr>
        <w:pStyle w:val="3"/>
      </w:pPr>
      <w:r>
        <w:rPr>
          <w:w w:val="92"/>
        </w:rPr>
        <w:t xml:space="preserve"> </w:t>
      </w:r>
      <w:r>
        <w:t>4.1 必要的急救措施描述：</w:t>
      </w:r>
    </w:p>
    <w:p>
      <w:pPr>
        <w:pStyle w:val="3"/>
        <w:spacing w:before="40"/>
      </w:pPr>
      <w:r>
        <w:rPr>
          <w:w w:val="95"/>
        </w:rPr>
        <w:t xml:space="preserve">     </w:t>
      </w:r>
      <w:r>
        <w:t>吸入：如果吸入,请将患者移到新鲜空气处。如呼吸停止，进行人工呼吸。请教医生。</w:t>
      </w:r>
    </w:p>
    <w:p>
      <w:pPr>
        <w:spacing w:after="0"/>
        <w:sectPr>
          <w:pgSz w:w="11900" w:h="16840"/>
          <w:pgMar w:top="760" w:right="600" w:bottom="700" w:left="620" w:header="0" w:footer="509" w:gutter="0"/>
          <w:cols w:space="720" w:num="1"/>
        </w:sectPr>
      </w:pPr>
    </w:p>
    <w:p>
      <w:pPr>
        <w:pStyle w:val="3"/>
        <w:spacing w:before="50"/>
      </w:pPr>
      <w:r>
        <w:rPr>
          <w:w w:val="93"/>
        </w:rPr>
        <w:t xml:space="preserve">     </w:t>
      </w:r>
      <w:r>
        <w:t>皮肤接触：用肥皂和大量的水冲洗。请教医生。</w:t>
      </w:r>
    </w:p>
    <w:p>
      <w:pPr>
        <w:pStyle w:val="3"/>
      </w:pPr>
      <w:r>
        <w:rPr>
          <w:w w:val="94"/>
        </w:rPr>
        <w:t xml:space="preserve">     </w:t>
      </w:r>
      <w:r>
        <w:t>眼睛接触：用大量水彻底冲洗至少15分钟并请教医生。</w:t>
      </w:r>
    </w:p>
    <w:p>
      <w:pPr>
        <w:pStyle w:val="3"/>
      </w:pPr>
      <w:r>
        <w:rPr>
          <w:w w:val="95"/>
        </w:rPr>
        <w:t xml:space="preserve">     </w:t>
      </w:r>
      <w:r>
        <w:t>食入：切勿给失去知觉者从嘴里喂食任何东西。用水漱口。请教医生。</w:t>
      </w:r>
    </w:p>
    <w:p>
      <w:pPr>
        <w:pStyle w:val="3"/>
        <w:spacing w:before="40"/>
      </w:pPr>
      <w:r>
        <w:rPr>
          <w:w w:val="97"/>
        </w:rPr>
        <w:t xml:space="preserve"> </w:t>
      </w:r>
      <w:r>
        <w:t>4.2 主要症状和影响，急性和迟发效应：消化系统失调,据我们所知，此化学，物理和毒性性质尚未经完整的研究。</w:t>
      </w:r>
    </w:p>
    <w:p>
      <w:pPr>
        <w:pStyle w:val="3"/>
        <w:spacing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spacing w:before="40"/>
      </w:pPr>
      <w:r>
        <w:rPr>
          <w:w w:val="93"/>
        </w:rPr>
        <w:t xml:space="preserve"> </w:t>
      </w:r>
      <w:r>
        <w:t>5.1 特别危险性描述：无资料</w:t>
      </w:r>
    </w:p>
    <w:p>
      <w:pPr>
        <w:pStyle w:val="3"/>
      </w:pPr>
      <w:r>
        <w:rPr>
          <w:w w:val="97"/>
        </w:rPr>
        <w:t xml:space="preserve"> </w:t>
      </w:r>
      <w:r>
        <w:t>5.2 灭火方法或灭火剂：用雾状水、抗溶性泡沫、干粉、二氧化碳、砂土灭火。</w:t>
      </w:r>
    </w:p>
    <w:p>
      <w:pPr>
        <w:pStyle w:val="3"/>
        <w:spacing w:line="220" w:lineRule="exact"/>
      </w:pPr>
      <w:r>
        <w:rPr>
          <w:w w:val="95"/>
        </w:rPr>
        <w:t xml:space="preserve"> </w:t>
      </w:r>
      <w:r>
        <w:t>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6.泄露应急措施</w:t>
      </w:r>
    </w:p>
    <w:p>
      <w:pPr>
        <w:pStyle w:val="3"/>
        <w:spacing w:before="40" w:line="280" w:lineRule="auto"/>
        <w:ind w:right="214"/>
      </w:pPr>
      <w:r>
        <w:rPr>
          <w:w w:val="98"/>
        </w:rPr>
        <w:t xml:space="preserve"> </w:t>
      </w:r>
      <w:r>
        <w:rPr>
          <w:w w:val="95"/>
        </w:rPr>
        <w:t>6.1   作业人员的防护措施、防护设备和应急处置程序：使用个人防护用品。避免吸入蒸气、烟雾或气体。保证充分的通风。人员疏散</w:t>
      </w:r>
      <w:r>
        <w:t>到安全区域。</w:t>
      </w:r>
    </w:p>
    <w:p>
      <w:pPr>
        <w:pStyle w:val="3"/>
        <w:spacing w:before="0"/>
      </w:pPr>
      <w:r>
        <w:rPr>
          <w:w w:val="97"/>
        </w:rPr>
        <w:t xml:space="preserve"> </w:t>
      </w:r>
      <w:r>
        <w:t>6.2 环境保护措施：如能确保安全，可采取措施防止进一步的泄漏或溢出。不要让产品进入下水道。</w:t>
      </w:r>
    </w:p>
    <w:p>
      <w:pPr>
        <w:pStyle w:val="3"/>
        <w:spacing w:before="40"/>
      </w:pPr>
      <w:r>
        <w:rPr>
          <w:w w:val="98"/>
        </w:rPr>
        <w:t xml:space="preserve"> </w:t>
      </w:r>
      <w:r>
        <w:t>6.3 泄露化学品的收容、清除方法及所使用的处置材料：用惰性吸附材料吸收并当作危险废物处理。放入合适的封闭的容器中待处理</w:t>
      </w:r>
    </w:p>
    <w:p>
      <w:pPr>
        <w:pStyle w:val="3"/>
        <w:spacing w:line="220" w:lineRule="exact"/>
      </w:pPr>
      <w:r>
        <w:t>。</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pPr>
      <w:r>
        <w:rPr>
          <w:w w:val="97"/>
        </w:rPr>
        <w:t xml:space="preserve"> </w:t>
      </w:r>
      <w:r>
        <w:rPr>
          <w:w w:val="95"/>
        </w:rPr>
        <w:t>7.1  安全处置注意事项：避免接触皮肤和眼睛。避免吸入蒸气和烟雾。</w:t>
      </w:r>
    </w:p>
    <w:p>
      <w:pPr>
        <w:pStyle w:val="3"/>
        <w:spacing w:before="40" w:line="280" w:lineRule="auto"/>
        <w:ind w:right="214"/>
      </w:pPr>
      <w:r>
        <w:rPr>
          <w:w w:val="98"/>
        </w:rPr>
        <w:t xml:space="preserve"> </w:t>
      </w:r>
      <w:r>
        <w:rPr>
          <w:w w:val="95"/>
        </w:rPr>
        <w:t>7.2</w:t>
      </w:r>
      <w:r>
        <w:rPr>
          <w:spacing w:val="-1"/>
          <w:w w:val="95"/>
        </w:rPr>
        <w:t xml:space="preserve">   安全储存注意事项：储存于阴凉、通风的库房。远离火种、热源。应与氧化剂、酸类、碱类分开存放，切忌混储。配备相应品种</w:t>
      </w:r>
      <w:r>
        <w:t>和数量的消防器材。储区应备有泄漏应急处理设备和合适的收容材料。</w:t>
      </w:r>
    </w:p>
    <w:p>
      <w:pPr>
        <w:pStyle w:val="3"/>
        <w:spacing w:before="0" w:line="220" w:lineRule="exact"/>
      </w:pPr>
      <w:r>
        <w:rPr>
          <w:w w:val="91"/>
        </w:rPr>
        <w:t xml:space="preserve"> </w:t>
      </w:r>
      <w:r>
        <w:t>7.3 不兼容性：无资料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pPr>
      <w:r>
        <w:rPr>
          <w:w w:val="93"/>
        </w:rPr>
        <w:t xml:space="preserve"> </w:t>
      </w:r>
      <w:r>
        <w:t>8.1 作业场所职业接触限值：</w:t>
      </w:r>
    </w:p>
    <w:p>
      <w:pPr>
        <w:pStyle w:val="3"/>
        <w:spacing w:before="40"/>
      </w:pPr>
      <w:r>
        <w:rPr>
          <w:w w:val="105"/>
        </w:rPr>
        <w:t xml:space="preserve"> MAC(mg/m3)：无资料</w:t>
      </w:r>
    </w:p>
    <w:p>
      <w:pPr>
        <w:pStyle w:val="3"/>
      </w:pPr>
      <w:r>
        <w:rPr>
          <w:w w:val="100"/>
        </w:rPr>
        <w:t xml:space="preserve"> </w:t>
      </w:r>
      <w:r>
        <w:t>PC-STEL(mg/m3)：无资料</w:t>
      </w:r>
    </w:p>
    <w:p>
      <w:pPr>
        <w:pStyle w:val="3"/>
        <w:spacing w:before="40"/>
      </w:pPr>
      <w:r>
        <w:rPr>
          <w:w w:val="109"/>
        </w:rPr>
        <w:t xml:space="preserve"> </w:t>
      </w:r>
      <w:r>
        <w:rPr>
          <w:w w:val="110"/>
        </w:rPr>
        <w:t>TLV-TWA(mg/m3)：10ppm</w:t>
      </w:r>
    </w:p>
    <w:p>
      <w:pPr>
        <w:pStyle w:val="3"/>
      </w:pPr>
      <w:r>
        <w:rPr>
          <w:w w:val="105"/>
        </w:rPr>
        <w:t xml:space="preserve"> PC-TWA(mg/m3)：无资料</w:t>
      </w:r>
    </w:p>
    <w:p>
      <w:pPr>
        <w:pStyle w:val="3"/>
      </w:pPr>
      <w:r>
        <w:rPr>
          <w:w w:val="101"/>
        </w:rPr>
        <w:t xml:space="preserve"> </w:t>
      </w:r>
      <w:r>
        <w:t>TLV-C(mg/m3)：无资料</w:t>
      </w:r>
    </w:p>
    <w:p>
      <w:pPr>
        <w:pStyle w:val="3"/>
        <w:spacing w:before="40"/>
      </w:pPr>
      <w:r>
        <w:rPr>
          <w:w w:val="103"/>
        </w:rPr>
        <w:t xml:space="preserve"> </w:t>
      </w:r>
      <w:r>
        <w:rPr>
          <w:w w:val="105"/>
        </w:rPr>
        <w:t>TLV=STEL(mg/m3)：无资料</w:t>
      </w:r>
    </w:p>
    <w:p>
      <w:pPr>
        <w:pStyle w:val="3"/>
      </w:pPr>
      <w:r>
        <w:rPr>
          <w:w w:val="94"/>
        </w:rPr>
        <w:t xml:space="preserve"> </w:t>
      </w:r>
      <w:r>
        <w:t>8.2 检测方法：羟胺-氯化铁分光光度法。</w:t>
      </w:r>
    </w:p>
    <w:p>
      <w:pPr>
        <w:pStyle w:val="3"/>
      </w:pPr>
      <w:r>
        <w:rPr>
          <w:w w:val="97"/>
        </w:rPr>
        <w:t xml:space="preserve"> </w:t>
      </w:r>
      <w:r>
        <w:t>8.3 工程控制：生产过程密闭，加强通风。提供安全淋浴和洗眼设备。</w:t>
      </w:r>
    </w:p>
    <w:p>
      <w:pPr>
        <w:pStyle w:val="3"/>
        <w:spacing w:before="40"/>
      </w:pPr>
      <w:r>
        <w:rPr>
          <w:w w:val="87"/>
        </w:rPr>
        <w:t xml:space="preserve"> </w:t>
      </w:r>
      <w:r>
        <w:t>8.4 暴露控制：</w:t>
      </w:r>
    </w:p>
    <w:p>
      <w:pPr>
        <w:pStyle w:val="3"/>
        <w:spacing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1"/>
      </w:pPr>
      <w:r>
        <w:rPr>
          <w:w w:val="89"/>
        </w:rPr>
        <w:t xml:space="preserve">     </w:t>
      </w:r>
      <w:r>
        <w:t>手防护：戴防化学品手套。</w:t>
      </w:r>
    </w:p>
    <w:p>
      <w:pPr>
        <w:pStyle w:val="3"/>
      </w:pPr>
      <w:r>
        <w:rPr>
          <w:w w:val="91"/>
        </w:rPr>
        <w:t xml:space="preserve">     </w:t>
      </w:r>
      <w:r>
        <w:t>眼睛防护：戴化学安全防护眼镜。</w:t>
      </w:r>
    </w:p>
    <w:p>
      <w:pPr>
        <w:pStyle w:val="3"/>
      </w:pPr>
      <w:r>
        <w:rPr>
          <w:w w:val="92"/>
        </w:rPr>
        <w:t xml:space="preserve">     </w:t>
      </w:r>
      <w:r>
        <w:t>皮肤和身体防护：穿化学品防护服。</w:t>
      </w:r>
    </w:p>
    <w:p>
      <w:pPr>
        <w:pStyle w:val="3"/>
        <w:spacing w:before="40"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pStyle w:val="3"/>
        <w:tabs>
          <w:tab w:val="left" w:pos="6415"/>
        </w:tabs>
        <w:spacing w:before="48" w:line="247" w:lineRule="auto"/>
        <w:ind w:left="140" w:right="2195"/>
      </w:pPr>
      <w:r>
        <w:t>外观与性状：无色微黏液体，无气味或略有氨臭，具吸湿性。</w:t>
      </w:r>
      <w:r>
        <w:tab/>
      </w:r>
      <w:r>
        <w:t>气味：无气味或略有氨臭气味阈值：无资料</w:t>
      </w:r>
      <w:r>
        <w:tab/>
      </w:r>
      <w:r>
        <w:rPr>
          <w:spacing w:val="-1"/>
          <w:w w:val="95"/>
        </w:rPr>
        <w:t>pH：4-5(200g/L,H2O,20℃)</w:t>
      </w:r>
    </w:p>
    <w:p>
      <w:pPr>
        <w:pStyle w:val="3"/>
        <w:tabs>
          <w:tab w:val="left" w:pos="6415"/>
        </w:tabs>
        <w:spacing w:before="1"/>
        <w:ind w:left="140"/>
      </w:pPr>
      <w:r>
        <w:rPr>
          <w:w w:val="95"/>
        </w:rPr>
        <w:t>熔点/凝固点(℃)：2-3℃</w:t>
      </w:r>
      <w:r>
        <w:rPr>
          <w:w w:val="95"/>
        </w:rPr>
        <w:tab/>
      </w:r>
      <w:r>
        <w:t>沸点、初沸点、沸程(℃)：210℃/760mmHg</w:t>
      </w:r>
    </w:p>
    <w:p>
      <w:pPr>
        <w:pStyle w:val="3"/>
        <w:tabs>
          <w:tab w:val="left" w:pos="6415"/>
        </w:tabs>
        <w:spacing w:before="8"/>
        <w:ind w:left="140"/>
      </w:pPr>
      <w:r>
        <w:rPr>
          <w:w w:val="90"/>
        </w:rPr>
        <w:t>密度/相对密度(水=1)：ρ(20)1.131-1.135g/mL</w:t>
      </w:r>
      <w:r>
        <w:rPr>
          <w:w w:val="90"/>
        </w:rPr>
        <w:tab/>
      </w:r>
      <w:r>
        <w:rPr>
          <w:w w:val="90"/>
        </w:rPr>
        <w:t>蒸汽密度(空气=1)：1.55</w:t>
      </w:r>
    </w:p>
    <w:p>
      <w:pPr>
        <w:pStyle w:val="3"/>
        <w:tabs>
          <w:tab w:val="left" w:pos="6415"/>
        </w:tabs>
        <w:spacing w:before="8"/>
        <w:ind w:left="140"/>
      </w:pPr>
      <w:r>
        <w:rPr>
          <w:w w:val="90"/>
        </w:rPr>
        <w:t>蒸汽压(kPa)：0.011(20℃)</w:t>
      </w:r>
      <w:r>
        <w:rPr>
          <w:w w:val="90"/>
        </w:rPr>
        <w:tab/>
      </w:r>
      <w:r>
        <w:rPr>
          <w:w w:val="90"/>
        </w:rPr>
        <w:t>燃烧热(kJ/mol)：无资料</w:t>
      </w:r>
    </w:p>
    <w:p>
      <w:pPr>
        <w:pStyle w:val="3"/>
        <w:tabs>
          <w:tab w:val="left" w:pos="6415"/>
        </w:tabs>
        <w:spacing w:before="8"/>
        <w:ind w:left="140"/>
      </w:pPr>
      <w:r>
        <w:t>分解温度：无资料</w:t>
      </w:r>
      <w:r>
        <w:tab/>
      </w:r>
      <w:r>
        <w:t>临界压力：无资料</w:t>
      </w:r>
    </w:p>
    <w:p>
      <w:pPr>
        <w:pStyle w:val="3"/>
        <w:tabs>
          <w:tab w:val="left" w:pos="6415"/>
        </w:tabs>
        <w:spacing w:before="7"/>
        <w:ind w:left="140"/>
      </w:pPr>
      <w:r>
        <w:rPr>
          <w:w w:val="95"/>
        </w:rPr>
        <w:t>辛醇/水分配系数的对数值：-0.82</w:t>
      </w:r>
      <w:r>
        <w:rPr>
          <w:w w:val="95"/>
        </w:rPr>
        <w:tab/>
      </w:r>
      <w:r>
        <w:t>闪点(℃)：302℉/150℃</w:t>
      </w:r>
    </w:p>
    <w:p>
      <w:pPr>
        <w:pStyle w:val="3"/>
        <w:tabs>
          <w:tab w:val="left" w:pos="6415"/>
        </w:tabs>
        <w:spacing w:before="8"/>
        <w:ind w:left="140"/>
      </w:pPr>
      <w:r>
        <w:t>自燃温度(℃)：无资料</w:t>
      </w:r>
      <w:r>
        <w:tab/>
      </w:r>
      <w:r>
        <w:t>爆炸上限%（V/V）：12</w:t>
      </w:r>
    </w:p>
    <w:p>
      <w:pPr>
        <w:spacing w:after="0"/>
        <w:sectPr>
          <w:pgSz w:w="11900" w:h="16840"/>
          <w:pgMar w:top="760" w:right="600" w:bottom="700" w:left="620" w:header="0" w:footer="509" w:gutter="0"/>
          <w:cols w:space="720" w:num="1"/>
        </w:sectPr>
      </w:pPr>
    </w:p>
    <w:p>
      <w:pPr>
        <w:pStyle w:val="3"/>
        <w:spacing w:before="8" w:line="205" w:lineRule="exact"/>
        <w:ind w:left="140"/>
      </w:pPr>
      <w:r>
        <w:t>溶解性：能与水、甲醇、乙醇、丙酮、乙酸、二氧六环、乙二醇和苯酚等混溶</w:t>
      </w:r>
    </w:p>
    <w:p>
      <w:pPr>
        <w:pStyle w:val="3"/>
        <w:spacing w:before="0" w:line="205" w:lineRule="exact"/>
        <w:ind w:left="140"/>
      </w:pPr>
      <w:r>
        <w:t>，极微溶于乙醚和苯。</w:t>
      </w:r>
    </w:p>
    <w:p>
      <w:pPr>
        <w:pStyle w:val="3"/>
        <w:spacing w:before="8"/>
        <w:ind w:left="115"/>
      </w:pPr>
      <w:r>
        <w:br w:type="column"/>
      </w:r>
      <w:r>
        <w:t>爆炸下限%（V/V）：1.5</w:t>
      </w:r>
    </w:p>
    <w:p>
      <w:pPr>
        <w:spacing w:after="0"/>
        <w:sectPr>
          <w:type w:val="continuous"/>
          <w:pgSz w:w="11900" w:h="16840"/>
          <w:pgMar w:top="1580" w:right="600" w:bottom="1180" w:left="620" w:header="720" w:footer="720" w:gutter="0"/>
          <w:cols w:equalWidth="0" w:num="2">
            <w:col w:w="6261" w:space="40"/>
            <w:col w:w="4379"/>
          </w:cols>
        </w:sectPr>
      </w:pPr>
    </w:p>
    <w:p>
      <w:pPr>
        <w:pStyle w:val="3"/>
        <w:tabs>
          <w:tab w:val="left" w:pos="6415"/>
        </w:tabs>
        <w:spacing w:before="8"/>
        <w:ind w:left="140"/>
      </w:pPr>
      <w:r>
        <w:t>易燃性（固体、气体）：无资料</w:t>
      </w:r>
      <w:r>
        <w:tab/>
      </w:r>
      <w:r>
        <w:t>蒸发速率：无资料</w:t>
      </w:r>
    </w:p>
    <w:p>
      <w:pPr>
        <w:pStyle w:val="3"/>
        <w:spacing w:before="169"/>
      </w:pPr>
      <w:r>
        <w:rPr>
          <w:w w:val="95"/>
        </w:rPr>
        <w:t>10.稳定性和反应性</w:t>
      </w:r>
    </w:p>
    <w:p>
      <w:pPr>
        <w:pStyle w:val="3"/>
      </w:pPr>
      <w:r>
        <w:rPr>
          <w:w w:val="89"/>
        </w:rPr>
        <w:t xml:space="preserve"> </w:t>
      </w:r>
      <w:r>
        <w:rPr>
          <w:w w:val="90"/>
        </w:rPr>
        <w:t>10.1</w:t>
      </w:r>
      <w:r>
        <w:rPr>
          <w:spacing w:val="-3"/>
          <w:w w:val="90"/>
        </w:rPr>
        <w:t xml:space="preserve"> 稳定性：稳定</w:t>
      </w:r>
    </w:p>
    <w:p>
      <w:pPr>
        <w:pStyle w:val="3"/>
        <w:spacing w:before="40"/>
      </w:pPr>
      <w:r>
        <w:rPr>
          <w:w w:val="91"/>
        </w:rPr>
        <w:t xml:space="preserve"> </w:t>
      </w:r>
      <w:r>
        <w:t>10.2 危险反应：无资料</w:t>
      </w:r>
    </w:p>
    <w:p>
      <w:pPr>
        <w:pStyle w:val="3"/>
      </w:pPr>
      <w:r>
        <w:rPr>
          <w:w w:val="92"/>
        </w:rPr>
        <w:t xml:space="preserve"> </w:t>
      </w:r>
      <w:r>
        <w:t>10.3 应避免的条件：加热。</w:t>
      </w:r>
    </w:p>
    <w:p>
      <w:pPr>
        <w:pStyle w:val="3"/>
        <w:spacing w:before="40"/>
      </w:pPr>
      <w:r>
        <w:rPr>
          <w:w w:val="91"/>
        </w:rPr>
        <w:t xml:space="preserve"> </w:t>
      </w:r>
      <w:r>
        <w:t>10.4 不相容物质：碱,氧化剂,过氧化氢,碘,吡啶,硫氧化物</w:t>
      </w:r>
    </w:p>
    <w:p>
      <w:pPr>
        <w:pStyle w:val="3"/>
        <w:spacing w:line="220" w:lineRule="exact"/>
      </w:pPr>
      <w:r>
        <w:rPr>
          <w:w w:val="93"/>
        </w:rPr>
        <w:t xml:space="preserve"> </w:t>
      </w:r>
      <w:r>
        <w:t>10.5 危险的分解产物：无资料</w:t>
      </w:r>
    </w:p>
    <w:p>
      <w:pPr>
        <w:spacing w:before="0" w:line="67" w:lineRule="exact"/>
        <w:ind w:left="100" w:right="0" w:firstLine="0"/>
        <w:jc w:val="left"/>
        <w:rPr>
          <w:sz w:val="6"/>
        </w:rPr>
      </w:pPr>
      <w:r>
        <w:rPr>
          <w:w w:val="41"/>
          <w:sz w:val="6"/>
        </w:rPr>
        <w:t xml:space="preserve"> </w:t>
      </w:r>
    </w:p>
    <w:p>
      <w:pPr>
        <w:spacing w:after="0" w:line="67" w:lineRule="exact"/>
        <w:jc w:val="left"/>
        <w:rPr>
          <w:sz w:val="6"/>
        </w:rPr>
        <w:sectPr>
          <w:type w:val="continuous"/>
          <w:pgSz w:w="11900" w:h="16840"/>
          <w:pgMar w:top="1580" w:right="600" w:bottom="1180" w:left="620" w:header="720" w:footer="720" w:gutter="0"/>
          <w:cols w:space="720" w:num="1"/>
        </w:sectPr>
      </w:pPr>
    </w:p>
    <w:p>
      <w:pPr>
        <w:pStyle w:val="3"/>
        <w:spacing w:before="50"/>
      </w:pPr>
      <w:r>
        <w:t>11.毒理学信息</w:t>
      </w:r>
    </w:p>
    <w:p>
      <w:pPr>
        <w:pStyle w:val="3"/>
        <w:spacing w:line="280" w:lineRule="auto"/>
        <w:ind w:right="246"/>
      </w:pPr>
      <w:r>
        <w:rPr>
          <w:w w:val="95"/>
        </w:rPr>
        <w:t xml:space="preserve"> 11.1 急性毒性：半数致死剂量(LD50)经口-大鼠-雄性和雌性-5,325mg/kg半数致死浓度(LC50)吸入-大鼠-雄性-4h-&gt;21mg/l半数致死剂量</w:t>
      </w:r>
      <w:r>
        <w:t>(LD50)经皮-大鼠-雄性和雌性-&gt;3,000mg/kg</w:t>
      </w:r>
    </w:p>
    <w:p>
      <w:pPr>
        <w:pStyle w:val="3"/>
        <w:spacing w:before="0"/>
      </w:pPr>
      <w:r>
        <w:rPr>
          <w:w w:val="93"/>
        </w:rPr>
        <w:t xml:space="preserve"> </w:t>
      </w:r>
      <w:r>
        <w:t>11.2 皮肤刺激或腐蚀：皮肤-兔子-无皮肤刺激-20h</w:t>
      </w:r>
    </w:p>
    <w:p>
      <w:pPr>
        <w:pStyle w:val="3"/>
        <w:spacing w:before="40"/>
      </w:pPr>
      <w:r>
        <w:rPr>
          <w:w w:val="96"/>
        </w:rPr>
        <w:t xml:space="preserve"> </w:t>
      </w:r>
      <w:r>
        <w:t>11.3 眼睛刺激和腐蚀：眼睛-兔子-轻度的眼睛刺激-经济合作与发展组织的试验指南405</w:t>
      </w:r>
    </w:p>
    <w:p>
      <w:pPr>
        <w:pStyle w:val="3"/>
      </w:pPr>
      <w:r>
        <w:rPr>
          <w:w w:val="93"/>
        </w:rPr>
        <w:t xml:space="preserve"> </w:t>
      </w:r>
      <w:r>
        <w:t>11.4 呼吸或皮肤过敏：无资料</w:t>
      </w:r>
    </w:p>
    <w:p>
      <w:pPr>
        <w:pStyle w:val="3"/>
        <w:spacing w:before="40" w:line="280" w:lineRule="auto"/>
        <w:ind w:right="270"/>
      </w:pPr>
      <w:r>
        <w:rPr>
          <w:w w:val="97"/>
        </w:rPr>
        <w:t xml:space="preserve"> </w:t>
      </w:r>
      <w:r>
        <w:rPr>
          <w:w w:val="95"/>
        </w:rPr>
        <w:t>11.5  生殖细胞突变性：细胞突变性-体外试验-Ames试验(艾姆斯试验)-鼠伤寒沙门氏菌-有或没有代谢活化作用-阴性细胞突变性-体内</w:t>
      </w:r>
      <w:r>
        <w:t>试验-小鼠-雄性和雌性-阴性</w:t>
      </w:r>
    </w:p>
    <w:p>
      <w:pPr>
        <w:pStyle w:val="3"/>
        <w:spacing w:before="0"/>
      </w:pPr>
      <w:r>
        <w:rPr>
          <w:w w:val="98"/>
        </w:rPr>
        <w:t xml:space="preserve"> </w:t>
      </w:r>
      <w:r>
        <w:t>11.6 致癌性：IARC:此产品中没有大于或等于0.1%含量的组分被IARC鉴别为可能的或肯定的人类致癌物。</w:t>
      </w:r>
    </w:p>
    <w:p>
      <w:pPr>
        <w:pStyle w:val="3"/>
        <w:spacing w:line="280" w:lineRule="auto"/>
        <w:ind w:right="168"/>
      </w:pPr>
      <w:r>
        <w:rPr>
          <w:w w:val="97"/>
        </w:rPr>
        <w:t xml:space="preserve"> </w:t>
      </w:r>
      <w:r>
        <w:rPr>
          <w:w w:val="95"/>
        </w:rPr>
        <w:t>11.7     生殖毒性：婴儿可能出现先天性畸形和畸形的危险，假设有人类生殖毒性致畸性-大鼠-经口对生殖的影响：胚胎植入后死亡率(例如总着床胚胎数中死亡和/</w:t>
      </w:r>
      <w:r>
        <w:rPr>
          <w:spacing w:val="-4"/>
          <w:w w:val="95"/>
        </w:rPr>
        <w:t xml:space="preserve">或被再吸收的胚胎数)。对胚胎或胎儿的影响：胎儿毒性(死亡除外，例如矮小胎儿)。能引起生殖紊乱发    </w:t>
      </w:r>
      <w:r>
        <w:t>育毒性-大鼠-皮肤对胚胎或胎儿的影响：胎儿死亡。</w:t>
      </w:r>
    </w:p>
    <w:p>
      <w:pPr>
        <w:pStyle w:val="3"/>
        <w:spacing w:before="1"/>
      </w:pPr>
      <w:r>
        <w:rPr>
          <w:w w:val="95"/>
        </w:rPr>
        <w:t xml:space="preserve"> </w:t>
      </w:r>
      <w:r>
        <w:t>11.8 特异性靶器官系统毒性（一次接触）：无资料</w:t>
      </w:r>
    </w:p>
    <w:p>
      <w:pPr>
        <w:pStyle w:val="3"/>
      </w:pPr>
      <w:r>
        <w:rPr>
          <w:w w:val="97"/>
        </w:rPr>
        <w:t xml:space="preserve"> </w:t>
      </w:r>
      <w:r>
        <w:t>11.9 特异性靶器官系统毒性（反复接触）：经口-长期或重复接触可能会对器官造成伤害。-血液</w:t>
      </w:r>
    </w:p>
    <w:p>
      <w:pPr>
        <w:pStyle w:val="3"/>
        <w:spacing w:before="40"/>
      </w:pPr>
      <w:r>
        <w:rPr>
          <w:w w:val="91"/>
        </w:rPr>
        <w:t xml:space="preserve"> </w:t>
      </w:r>
      <w:r>
        <w:rPr>
          <w:w w:val="90"/>
        </w:rPr>
        <w:t>11.10 吸入危险：无资料</w:t>
      </w:r>
    </w:p>
    <w:p>
      <w:pPr>
        <w:pStyle w:val="3"/>
      </w:pPr>
      <w:r>
        <w:rPr>
          <w:w w:val="91"/>
        </w:rPr>
        <w:t xml:space="preserve"> </w:t>
      </w:r>
      <w:r>
        <w:rPr>
          <w:w w:val="90"/>
        </w:rPr>
        <w:t>11.11 潜在的健康危险：</w:t>
      </w:r>
    </w:p>
    <w:p>
      <w:pPr>
        <w:pStyle w:val="3"/>
      </w:pPr>
      <w:r>
        <w:rPr>
          <w:w w:val="98"/>
        </w:rPr>
        <w:t xml:space="preserve"> </w:t>
      </w:r>
      <w:r>
        <w:t>吸入：吸入有害。可能引起呼吸道刺激。</w:t>
      </w:r>
    </w:p>
    <w:p>
      <w:pPr>
        <w:pStyle w:val="3"/>
        <w:spacing w:before="40"/>
      </w:pPr>
      <w:r>
        <w:rPr>
          <w:w w:val="97"/>
        </w:rPr>
        <w:t xml:space="preserve"> </w:t>
      </w:r>
      <w:r>
        <w:t>摄入：误吞对人体有害。</w:t>
      </w:r>
    </w:p>
    <w:p>
      <w:pPr>
        <w:pStyle w:val="3"/>
      </w:pPr>
      <w:r>
        <w:rPr>
          <w:w w:val="98"/>
        </w:rPr>
        <w:t xml:space="preserve"> </w:t>
      </w:r>
      <w:r>
        <w:t>皮肤：通过皮肤吸收有害。可能引起皮肤刺激。</w:t>
      </w:r>
    </w:p>
    <w:p>
      <w:pPr>
        <w:pStyle w:val="3"/>
        <w:spacing w:line="220" w:lineRule="exact"/>
      </w:pPr>
      <w:r>
        <w:rPr>
          <w:w w:val="97"/>
        </w:rPr>
        <w:t xml:space="preserve"> </w:t>
      </w:r>
      <w:r>
        <w:t>眼睛：可能引起眼睛刺激。</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12.生态学信息</w:t>
      </w:r>
    </w:p>
    <w:p>
      <w:pPr>
        <w:pStyle w:val="3"/>
        <w:spacing w:before="40" w:line="280" w:lineRule="auto"/>
        <w:ind w:right="128"/>
      </w:pPr>
      <w:r>
        <w:rPr>
          <w:w w:val="95"/>
        </w:rPr>
        <w:t xml:space="preserve"> 12.1 生态毒性：对鱼类的毒性半数致死浓度(LC50)-金色雅罗鱼-&gt;4,600-&lt;9,300mg/l-96h对水蚤和其他水生无脊椎动物的毒性半致死有效</w:t>
      </w:r>
      <w:r>
        <w:t>浓度(EC50)-Daphniamagna(大型蚤)-&gt;500mg/l-48h对藻类的毒性-Desmodesmussubspicatus(绿藻)-1,141mg/l-72h细菌毒性- Pseudomonasputida-&gt;10,000mg/l-17h</w:t>
      </w:r>
    </w:p>
    <w:p>
      <w:pPr>
        <w:pStyle w:val="3"/>
        <w:spacing w:before="0"/>
      </w:pPr>
      <w:r>
        <w:rPr>
          <w:w w:val="96"/>
        </w:rPr>
        <w:t xml:space="preserve"> </w:t>
      </w:r>
      <w:r>
        <w:t>12.2 持久性和降解性：根据经济合作与发展组织颁布的测试方法试验,是容易生物降解的。</w:t>
      </w:r>
    </w:p>
    <w:p>
      <w:pPr>
        <w:pStyle w:val="3"/>
        <w:spacing w:before="40"/>
      </w:pPr>
      <w:r>
        <w:rPr>
          <w:w w:val="93"/>
        </w:rPr>
        <w:t xml:space="preserve"> </w:t>
      </w:r>
      <w:r>
        <w:t>12.3 潜在的生物累积性：无资料</w:t>
      </w:r>
    </w:p>
    <w:p>
      <w:pPr>
        <w:pStyle w:val="3"/>
      </w:pPr>
      <w:r>
        <w:rPr>
          <w:w w:val="93"/>
        </w:rPr>
        <w:t xml:space="preserve"> </w:t>
      </w:r>
      <w:r>
        <w:t>12.4 土壤中的迁移性：无资料</w:t>
      </w:r>
    </w:p>
    <w:p>
      <w:pPr>
        <w:pStyle w:val="3"/>
        <w:spacing w:line="220" w:lineRule="exact"/>
      </w:pPr>
      <w:r>
        <w:rPr>
          <w:w w:val="92"/>
        </w:rPr>
        <w:t xml:space="preserve"> </w:t>
      </w:r>
      <w:r>
        <w:t>12.5 其它不良影响：无资料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1"/>
      </w:pPr>
      <w:r>
        <w:t>13.废弃处置</w:t>
      </w:r>
    </w:p>
    <w:p>
      <w:pPr>
        <w:pStyle w:val="3"/>
      </w:pPr>
      <w:r>
        <w:rPr>
          <w:w w:val="98"/>
        </w:rPr>
        <w:t xml:space="preserve"> </w:t>
      </w:r>
      <w:r>
        <w:t>13.1 残余废弃物处置方法：用焚烧法处置。与燃料混合后，再焚烧。焚烧炉排出的氮氧化物通过洗涤器除去。</w:t>
      </w:r>
    </w:p>
    <w:p>
      <w:pPr>
        <w:pStyle w:val="3"/>
      </w:pPr>
      <w:r>
        <w:rPr>
          <w:w w:val="95"/>
        </w:rPr>
        <w:t xml:space="preserve"> </w:t>
      </w:r>
      <w:r>
        <w:t>13.2 受污染的容器和包装：按未用产品处置</w:t>
      </w:r>
    </w:p>
    <w:p>
      <w:pPr>
        <w:pStyle w:val="3"/>
        <w:spacing w:before="40" w:line="220" w:lineRule="exact"/>
      </w:pPr>
      <w:r>
        <w:rPr>
          <w:w w:val="96"/>
        </w:rPr>
        <w:t xml:space="preserve"> </w:t>
      </w:r>
      <w:r>
        <w:t>13.3 废弃处置注意事项：处置前参照国家和地方有关法律法规</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14.运输信息</w:t>
      </w:r>
    </w:p>
    <w:p>
      <w:pPr>
        <w:pStyle w:val="3"/>
      </w:pPr>
      <w:r>
        <w:rPr>
          <w:w w:val="104"/>
        </w:rPr>
        <w:t xml:space="preserve">  </w:t>
      </w:r>
      <w:r>
        <w:rPr>
          <w:w w:val="105"/>
        </w:rPr>
        <w:t>危规号CN：NA</w:t>
      </w:r>
    </w:p>
    <w:p>
      <w:pPr>
        <w:pStyle w:val="3"/>
      </w:pPr>
      <w:r>
        <w:rPr>
          <w:w w:val="98"/>
        </w:rPr>
        <w:t xml:space="preserve">  </w:t>
      </w:r>
      <w:r>
        <w:t>联合国危险货物编号：NA</w:t>
      </w:r>
    </w:p>
    <w:p>
      <w:pPr>
        <w:pStyle w:val="3"/>
        <w:spacing w:before="40"/>
      </w:pPr>
      <w:r>
        <w:rPr>
          <w:w w:val="95"/>
        </w:rPr>
        <w:t xml:space="preserve">  </w:t>
      </w:r>
      <w:r>
        <w:t>联合国运输名称：非危险货物</w:t>
      </w:r>
    </w:p>
    <w:p>
      <w:pPr>
        <w:pStyle w:val="3"/>
      </w:pPr>
      <w:r>
        <w:rPr>
          <w:w w:val="98"/>
        </w:rPr>
        <w:t xml:space="preserve">  </w:t>
      </w:r>
      <w:r>
        <w:t>联合国危险性分类：NA</w:t>
      </w:r>
    </w:p>
    <w:p>
      <w:pPr>
        <w:pStyle w:val="3"/>
        <w:spacing w:before="40"/>
      </w:pPr>
      <w:r>
        <w:rPr>
          <w:w w:val="92"/>
        </w:rPr>
        <w:t xml:space="preserve">  </w:t>
      </w:r>
      <w:r>
        <w:t>包装组：无资料</w:t>
      </w:r>
    </w:p>
    <w:p>
      <w:pPr>
        <w:pStyle w:val="3"/>
      </w:pPr>
      <w:r>
        <w:rPr>
          <w:w w:val="93"/>
        </w:rPr>
        <w:t xml:space="preserve">  </w:t>
      </w:r>
      <w:r>
        <w:t>包装方法：无资料</w:t>
      </w:r>
    </w:p>
    <w:p>
      <w:pPr>
        <w:pStyle w:val="3"/>
      </w:pPr>
      <w:r>
        <w:rPr>
          <w:w w:val="93"/>
        </w:rPr>
        <w:t xml:space="preserve">  </w:t>
      </w:r>
      <w:r>
        <w:t>海洋污染物（是/否）：否</w:t>
      </w:r>
    </w:p>
    <w:p>
      <w:pPr>
        <w:pStyle w:val="3"/>
        <w:spacing w:before="40" w:line="220" w:lineRule="exact"/>
      </w:pPr>
      <w:r>
        <w:rPr>
          <w:w w:val="94"/>
        </w:rPr>
        <w:t xml:space="preserve">  </w:t>
      </w:r>
      <w:r>
        <w:t>运输注意事项：无资料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15.法规信息</w:t>
      </w:r>
    </w:p>
    <w:p>
      <w:pPr>
        <w:pStyle w:val="3"/>
      </w:pPr>
      <w:r>
        <w:t>下列法律法规和标准，对化学品的安全使用、储存、运输、装卸、分类和标志等方面均作了相应的规定：</w:t>
      </w:r>
    </w:p>
    <w:p>
      <w:pPr>
        <w:pStyle w:val="3"/>
        <w:spacing w:before="40"/>
      </w:pPr>
      <w:r>
        <w:rPr>
          <w:w w:val="88"/>
        </w:rPr>
        <w:t xml:space="preserve">        </w:t>
      </w:r>
      <w:r>
        <w:t>《危险化学品名录》（2015版）：未列入</w:t>
      </w:r>
    </w:p>
    <w:p>
      <w:pPr>
        <w:pStyle w:val="3"/>
      </w:pPr>
      <w:r>
        <w:rPr>
          <w:w w:val="89"/>
        </w:rPr>
        <w:t xml:space="preserve">        </w:t>
      </w:r>
      <w:r>
        <w:t>《易制毒化学品名录》（2002版）：未列入</w:t>
      </w:r>
    </w:p>
    <w:p>
      <w:pPr>
        <w:pStyle w:val="3"/>
      </w:pPr>
      <w:r>
        <w:rPr>
          <w:w w:val="90"/>
        </w:rPr>
        <w:t xml:space="preserve">        </w:t>
      </w:r>
      <w:r>
        <w:t>《易制爆危险化学品名录》（2011版）：未列入</w:t>
      </w:r>
    </w:p>
    <w:p>
      <w:pPr>
        <w:pStyle w:val="3"/>
        <w:spacing w:before="40"/>
      </w:pPr>
      <w:r>
        <w:rPr>
          <w:w w:val="92"/>
        </w:rPr>
        <w:t xml:space="preserve">        </w:t>
      </w:r>
      <w:r>
        <w:t>化学品分类、警示标签和警示性说明规范系列标准（GB 20576～GB 20602）</w:t>
      </w:r>
    </w:p>
    <w:p>
      <w:pPr>
        <w:pStyle w:val="3"/>
        <w:spacing w:line="220" w:lineRule="exact"/>
      </w:pPr>
      <w:r>
        <w:t>若适用，该化学品满足《危险化学品安全管理条例》(2011年2月16日国务院第591号令颁布)的要求。</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16.其他信息</w:t>
      </w:r>
    </w:p>
    <w:p>
      <w:pPr>
        <w:pStyle w:val="3"/>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before="40"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pPr>
      <w:r>
        <w:rPr>
          <w:w w:val="97"/>
        </w:rPr>
        <w:t xml:space="preserve">  </w:t>
      </w:r>
      <w:r>
        <w:t>编制部门：国药集团化学试剂有限公司——质量管理部</w:t>
      </w:r>
    </w:p>
    <w:p>
      <w:pPr>
        <w:pStyle w:val="3"/>
        <w:spacing w:before="40"/>
      </w:pPr>
      <w:r>
        <w:rPr>
          <w:w w:val="97"/>
        </w:rPr>
        <w:t xml:space="preserve">  </w:t>
      </w:r>
      <w:r>
        <w:t>修改说明：每5年修订一次或有国家新的相关法律法规出台时</w:t>
      </w:r>
    </w:p>
    <w:p>
      <w:pPr>
        <w:spacing w:after="0"/>
        <w:sectPr>
          <w:footerReference r:id="rId5" w:type="default"/>
          <w:pgSz w:w="11900" w:h="16840"/>
          <w:pgMar w:top="760" w:right="600" w:bottom="700" w:left="620" w:header="0" w:footer="509" w:gutter="0"/>
          <w:cols w:space="720" w:num="1"/>
        </w:sectPr>
      </w:pPr>
    </w:p>
    <w:p>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ind w:left="0"/>
      <w:rPr>
        <w:sz w:val="20"/>
      </w:rPr>
    </w:pPr>
    <w:r>
      <mc:AlternateContent>
        <mc:Choice Requires="wps">
          <w:drawing>
            <wp:anchor distT="0" distB="0" distL="114300" distR="114300" simplePos="0" relativeHeight="251660288" behindDoc="1" locked="0" layoutInCell="1" allowOverlap="1">
              <wp:simplePos x="0" y="0"/>
              <wp:positionH relativeFrom="page">
                <wp:posOffset>6375400</wp:posOffset>
              </wp:positionH>
              <wp:positionV relativeFrom="page">
                <wp:posOffset>10230485</wp:posOffset>
              </wp:positionV>
              <wp:extent cx="278765" cy="199390"/>
              <wp:effectExtent l="0" t="0" r="0" b="0"/>
              <wp:wrapNone/>
              <wp:docPr id="1" name="文本框 1"/>
              <wp:cNvGraphicFramePr/>
              <a:graphic xmlns:a="http://schemas.openxmlformats.org/drawingml/2006/main">
                <a:graphicData uri="http://schemas.microsoft.com/office/word/2010/wordprocessingShape">
                  <wps:wsp>
                    <wps:cNvSpPr txBox="1"/>
                    <wps:spPr>
                      <a:xfrm>
                        <a:off x="0" y="0"/>
                        <a:ext cx="278765" cy="199390"/>
                      </a:xfrm>
                      <a:prstGeom prst="rect">
                        <a:avLst/>
                      </a:prstGeom>
                      <a:noFill/>
                      <a:ln>
                        <a:noFill/>
                      </a:ln>
                    </wps:spPr>
                    <wps:txbx>
                      <w:txbxContent>
                        <w:p>
                          <w:pPr>
                            <w:spacing w:before="2"/>
                            <w:ind w:left="20" w:right="0" w:firstLine="0"/>
                            <w:jc w:val="left"/>
                            <w:rPr>
                              <w:rFonts w:ascii="Times New Roman"/>
                              <w:sz w:val="24"/>
                            </w:rPr>
                          </w:pPr>
                          <w:r>
                            <w:rPr>
                              <w:rFonts w:ascii="Times New Roman"/>
                              <w:w w:val="110"/>
                              <w:sz w:val="24"/>
                            </w:rPr>
                            <w:t>390</w:t>
                          </w:r>
                        </w:p>
                      </w:txbxContent>
                    </wps:txbx>
                    <wps:bodyPr lIns="0" tIns="0" rIns="0" bIns="0" upright="1"/>
                  </wps:wsp>
                </a:graphicData>
              </a:graphic>
            </wp:anchor>
          </w:drawing>
        </mc:Choice>
        <mc:Fallback>
          <w:pict>
            <v:shape id="_x0000_s1026" o:spid="_x0000_s1026" o:spt="202" type="#_x0000_t202" style="position:absolute;left:0pt;margin-left:502pt;margin-top:805.55pt;height:15.7pt;width:21.95pt;mso-position-horizontal-relative:page;mso-position-vertical-relative:page;z-index:-251656192;mso-width-relative:page;mso-height-relative:page;" filled="f" stroked="f" coordsize="21600,21600" o:gfxdata="UEsDBAoAAAAAAIdO4kAAAAAAAAAAAAAAAAAEAAAAZHJzL1BLAwQUAAAACACHTuJAewhOj9sAAAAP&#10;AQAADwAAAGRycy9kb3ducmV2LnhtbE2PzU7DMBCE70i8g7WVuFE7VQg0jVMhBCckRBoOHJ3YTazG&#10;6xC7P7w9mxO97eyOZr8pthc3sJOZgvUoIVkKYAZbry12Er7qt/snYCEq1GrwaCT8mgDb8vamULn2&#10;Z6zMaRc7RiEYciWhj3HMOQ9tb5wKSz8apNveT05FklPH9aTOFO4GvhIi405ZpA+9Gs1Lb9rD7ugk&#10;PH9j9Wp/PprPal/Zul4LfM8OUt4tErEBFs0l/pthxid0KImp8UfUgQ2khUipTKQpS5IE2OwR6eMa&#10;WDPv0tUD8LLg1z3KP1BLAwQUAAAACACHTuJApK6o4bsBAABxAwAADgAAAGRycy9lMm9Eb2MueG1s&#10;rVPBjtMwEL0j8Q+W7zRtEbvbqOlKqFqEhABplw9wHbuxZHussdukPwB/wIkLd76r38HYTbuwXPbA&#10;xZnMTN6898ZZ3g7Osr3CaMA3fDaZcqa8hNb4bcO/PNy9uuEsJuFbYcGrhh9U5Lerly+WfajVHDqw&#10;rUJGID7WfWh4l1KoqyrKTjkRJxCUp6IGdCLRK26rFkVP6M5W8+n0quoB24AgVYyUXZ+KfETE5wCC&#10;1kaqNcidUz6dUFFZkUhS7EyIfFXYaq1k+qR1VInZhpPSVE4aQvEmn9VqKeotitAZOVIQz6HwRJMT&#10;xtPQC9RaJMF2aP6BckYiRNBpIsFVJyHFEVIxmz7x5r4TQRUtZHUMF9Pj/4OVH/efkZmWbgJnXjha&#10;+PH7t+OPX8efX9ks29OHWFPXfaC+NLyFIbeO+UjJrHrQ6PKT9DCqk7mHi7lqSExScn59c331hjNJ&#10;pdli8XpRzK8ePw4Y0zsFjuWg4Ui7K5aK/YeYaCC1nlvyLA93xtqyP+v/SlBjzlSZ+YlhjtKwGUba&#10;G2gPpMa+9+RkvhXnAM/B5hzsApptR3SK5gJJmyhkxluTV/3nexn8+Kesfg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7CE6P2wAAAA8BAAAPAAAAAAAAAAEAIAAAACIAAABkcnMvZG93bnJldi54bWxQ&#10;SwECFAAUAAAACACHTuJApK6o4bsBAABxAwAADgAAAAAAAAABACAAAAAqAQAAZHJzL2Uyb0RvYy54&#10;bWxQSwUGAAAAAAYABgBZAQAAVwUAAAAA&#10;">
              <v:path/>
              <v:fill on="f" focussize="0,0"/>
              <v:stroke on="f" joinstyle="miter"/>
              <v:imagedata o:title=""/>
              <o:lock v:ext="edit"/>
              <v:textbox inset="0mm,0mm,0mm,0mm">
                <w:txbxContent>
                  <w:p>
                    <w:pPr>
                      <w:spacing w:before="2"/>
                      <w:ind w:left="20" w:right="0" w:firstLine="0"/>
                      <w:jc w:val="left"/>
                      <w:rPr>
                        <w:rFonts w:ascii="Times New Roman"/>
                        <w:sz w:val="24"/>
                      </w:rPr>
                    </w:pPr>
                    <w:r>
                      <w:rPr>
                        <w:rFonts w:ascii="Times New Roman"/>
                        <w:w w:val="110"/>
                        <w:sz w:val="24"/>
                      </w:rPr>
                      <w:t>390</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452B1F6D"/>
    <w:rsid w:val="16047413"/>
    <w:rsid w:val="452B1F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2023-11-02T09:10:00Z</dcterms:created>
  <dc:creator>刘文丹。</dc:creator>
  <cp:lastModifiedBy>刘文丹。</cp:lastModifiedBy>
  <dcterms:modified xsi:type="dcterms:W3CDTF">2023-11-02T09:13:12Z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EC0F4C93001C4F8B994A5A4B62C8045D_11</vt:lpwstr>
  </property>
</Properties>
</file>