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eastAsia"/>
          <w:sz w:val="28"/>
          <w:szCs w:val="28"/>
          <w:lang w:eastAsia="zh-CN"/>
        </w:rPr>
      </w:pPr>
      <w:r>
        <w:rPr>
          <w:rFonts w:hint="eastAsia"/>
          <w:sz w:val="28"/>
          <w:szCs w:val="28"/>
          <w:lang w:eastAsia="zh-CN"/>
        </w:rPr>
        <w:t>已烷安全说明书</w:t>
      </w:r>
    </w:p>
    <w:p>
      <w:pPr>
        <w:pStyle w:val="3"/>
        <w:spacing w:before="0" w:line="280" w:lineRule="auto"/>
        <w:ind w:right="9013"/>
        <w:rPr>
          <w:w w:val="95"/>
        </w:rPr>
      </w:pPr>
      <w:r>
        <w:rPr>
          <w:w w:val="95"/>
        </w:rPr>
        <w:t>1.化学品及企业标识</w:t>
      </w:r>
    </w:p>
    <w:p>
      <w:pPr>
        <w:pStyle w:val="3"/>
        <w:spacing w:before="0" w:line="280" w:lineRule="auto"/>
        <w:ind w:right="9013"/>
      </w:pPr>
      <w:r>
        <w:t>中文名：己烷</w:t>
      </w:r>
    </w:p>
    <w:p>
      <w:pPr>
        <w:pStyle w:val="3"/>
        <w:spacing w:before="0"/>
      </w:pPr>
      <w:r>
        <w:t>英文名：Hexane</w:t>
      </w:r>
    </w:p>
    <w:p>
      <w:pPr>
        <w:pStyle w:val="3"/>
        <w:spacing w:before="40"/>
      </w:pPr>
      <w:r>
        <w:t>中文别名：己烷；正己烷</w:t>
      </w:r>
    </w:p>
    <w:p>
      <w:pPr>
        <w:pStyle w:val="3"/>
      </w:pPr>
      <w:r>
        <w:t>英文别名：Hexane;Alkane C6</w:t>
      </w:r>
    </w:p>
    <w:p>
      <w:pPr>
        <w:pStyle w:val="3"/>
        <w:spacing w:before="40"/>
      </w:pPr>
      <w:r>
        <w:t>推荐用途：实验室用化验、试验及科学实验。</w:t>
      </w:r>
    </w:p>
    <w:p>
      <w:pPr>
        <w:pStyle w:val="3"/>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bookmarkStart w:id="0" w:name="_GoBack"/>
      <w:bookmarkEnd w:id="0"/>
    </w:p>
    <w:p>
      <w:pPr>
        <w:pStyle w:val="3"/>
      </w:pPr>
      <w:r>
        <w:t>应急电话：86-021-62679090</w:t>
      </w:r>
    </w:p>
    <w:p>
      <w:pPr>
        <w:pStyle w:val="3"/>
        <w:spacing w:before="40"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CSDS110-54-3 己烷</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line="280" w:lineRule="auto"/>
        <w:ind w:right="183"/>
        <w:jc w:val="both"/>
      </w:pPr>
      <w:r>
        <w:rPr>
          <w:w w:val="98"/>
        </w:rPr>
        <w:t xml:space="preserve"> </w:t>
      </w:r>
      <w:r>
        <w:rPr>
          <w:w w:val="95"/>
        </w:rPr>
        <w:t>2.1    紧急情况概述：高度挥发性无色液体。，有汽油味。高度易燃液体和蒸气。吞咽及进入呼吸道可能致命。造成皮肤刺激。可能造</w:t>
      </w:r>
      <w:r>
        <w:rPr>
          <w:spacing w:val="-1"/>
          <w:w w:val="95"/>
        </w:rPr>
        <w:t xml:space="preserve">成昏昏欲睡或眩晕。怀疑对生育能力或胎儿造成伤害。长期吞咽或反复接触可能损害(神经系统)器官。对水生生物有毒并具有长期持     </w:t>
      </w:r>
      <w:r>
        <w:t>续影响。过量接触需采取特殊急救措施和进行医疗随访。用泡沫、二氧化碳、干粉、砂土灭火。如必要的话,戴自给式呼吸器去救火</w:t>
      </w:r>
    </w:p>
    <w:p>
      <w:pPr>
        <w:pStyle w:val="3"/>
        <w:spacing w:before="0"/>
      </w:pPr>
      <w:r>
        <w:t>。</w:t>
      </w:r>
    </w:p>
    <w:p>
      <w:pPr>
        <w:pStyle w:val="3"/>
        <w:spacing w:line="280" w:lineRule="auto"/>
        <w:ind w:right="165"/>
      </w:pPr>
      <w:r>
        <w:rPr>
          <w:w w:val="98"/>
        </w:rPr>
        <w:t xml:space="preserve"> </w:t>
      </w:r>
      <w:r>
        <w:t>2.2</w:t>
      </w:r>
      <w:r>
        <w:rPr>
          <w:spacing w:val="-32"/>
        </w:rPr>
        <w:t xml:space="preserve"> </w:t>
      </w:r>
      <w:r>
        <w:t>GHS危险性分类：易燃液体（类别2）皮肤腐蚀/刺激（类别2）生殖毒性（类别2）特异性靶器官系统毒性（一次接触）（类别</w:t>
      </w:r>
      <w:r>
        <w:rPr>
          <w:w w:val="95"/>
        </w:rPr>
        <w:t>3），中枢神经系统特异性靶器官系统毒性（反复接触），经口（类别2），神经系统吸入危害（类别1）急性水生毒性（类别2）</w:t>
      </w:r>
      <w:r>
        <w:rPr>
          <w:spacing w:val="-9"/>
          <w:w w:val="95"/>
        </w:rPr>
        <w:t xml:space="preserve">慢性     </w:t>
      </w:r>
      <w:r>
        <w:t>水生毒性（类别2）</w:t>
      </w:r>
    </w:p>
    <w:p>
      <w:pPr>
        <w:pStyle w:val="3"/>
        <w:spacing w:before="1"/>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15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6.jpeg"/>
                    <pic:cNvPicPr>
                      <a:picLocks noChangeAspect="1"/>
                    </pic:cNvPicPr>
                  </pic:nvPicPr>
                  <pic:blipFill>
                    <a:blip r:embed="rId7"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189865</wp:posOffset>
            </wp:positionV>
            <wp:extent cx="762000" cy="762000"/>
            <wp:effectExtent l="0" t="0" r="0" b="0"/>
            <wp:wrapTopAndBottom/>
            <wp:docPr id="15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4.jpeg"/>
                    <pic:cNvPicPr>
                      <a:picLocks noChangeAspect="1"/>
                    </pic:cNvPicPr>
                  </pic:nvPicPr>
                  <pic:blipFill>
                    <a:blip r:embed="rId8"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3113405</wp:posOffset>
            </wp:positionH>
            <wp:positionV relativeFrom="paragraph">
              <wp:posOffset>189865</wp:posOffset>
            </wp:positionV>
            <wp:extent cx="762000" cy="762000"/>
            <wp:effectExtent l="0" t="0" r="0" b="0"/>
            <wp:wrapTopAndBottom/>
            <wp:docPr id="15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5.jpeg"/>
                    <pic:cNvPicPr>
                      <a:picLocks noChangeAspect="1"/>
                    </pic:cNvPicPr>
                  </pic:nvPicPr>
                  <pic:blipFill>
                    <a:blip r:embed="rId9"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4441825</wp:posOffset>
            </wp:positionH>
            <wp:positionV relativeFrom="paragraph">
              <wp:posOffset>189865</wp:posOffset>
            </wp:positionV>
            <wp:extent cx="762000" cy="762000"/>
            <wp:effectExtent l="0" t="0" r="0" b="0"/>
            <wp:wrapTopAndBottom/>
            <wp:docPr id="16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3.jpeg"/>
                    <pic:cNvPicPr>
                      <a:picLocks noChangeAspect="1"/>
                    </pic:cNvPicPr>
                  </pic:nvPicPr>
                  <pic:blipFill>
                    <a:blip r:embed="rId10"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警示词：危险</w:t>
      </w:r>
    </w:p>
    <w:p>
      <w:pPr>
        <w:pStyle w:val="3"/>
        <w:spacing w:line="280" w:lineRule="auto"/>
        <w:ind w:right="280"/>
      </w:pPr>
      <w:r>
        <w:rPr>
          <w:w w:val="99"/>
        </w:rPr>
        <w:t xml:space="preserve"> </w:t>
      </w:r>
      <w:r>
        <w:rPr>
          <w:spacing w:val="-1"/>
          <w:w w:val="95"/>
        </w:rPr>
        <w:t xml:space="preserve">危险信息：高度易燃液体和蒸气。吞咽及进入呼吸道可能致命。造成皮肤刺激。可能造成昏昏欲睡或眩晕。怀疑对生育能力或胎儿     </w:t>
      </w:r>
      <w:r>
        <w:t>造成伤害。长期吞咽或反复接触可能损害(神经系统)器官。对水生生物有毒并具有长期持续影响。</w:t>
      </w:r>
    </w:p>
    <w:p>
      <w:pPr>
        <w:pStyle w:val="3"/>
        <w:spacing w:before="0" w:line="280" w:lineRule="auto"/>
        <w:ind w:right="137"/>
      </w:pPr>
      <w:r>
        <w:rPr>
          <w:w w:val="98"/>
        </w:rPr>
        <w:t xml:space="preserve"> </w:t>
      </w:r>
      <w:r>
        <w:rPr>
          <w:w w:val="95"/>
        </w:rPr>
        <w:t>预防措施：在使用前取得专用说明。在读懂所有安全防范措施之前请勿搬动。远离热源/火花/明火。禁止吸烟。保持容器密闭。容器    和装载设备接地/等势联接。使用防爆的电气/通风/</w:t>
      </w:r>
      <w:r>
        <w:rPr>
          <w:spacing w:val="-1"/>
          <w:w w:val="95"/>
        </w:rPr>
        <w:t>照明设备。只能使用不产生火花的工具。采取防止静电放电的措施。不要吸入粉尘</w:t>
      </w:r>
    </w:p>
    <w:p>
      <w:pPr>
        <w:pStyle w:val="3"/>
        <w:spacing w:before="1" w:line="280" w:lineRule="auto"/>
        <w:ind w:right="257"/>
      </w:pPr>
      <w:r>
        <w:rPr>
          <w:w w:val="95"/>
        </w:rPr>
        <w:t>/烟/气体/烟雾/蒸气/喷雾。作业后彻底清洗皮肤。只能在室外或通风良好之处使用。避免释放到环境中。戴防护手套/穿防护服/</w:t>
      </w:r>
      <w:r>
        <w:rPr>
          <w:spacing w:val="-9"/>
          <w:w w:val="95"/>
        </w:rPr>
        <w:t xml:space="preserve">戴防   </w:t>
      </w:r>
      <w:r>
        <w:t>护眼罩/戴防护面具。</w:t>
      </w:r>
    </w:p>
    <w:p>
      <w:pPr>
        <w:pStyle w:val="3"/>
        <w:spacing w:before="0" w:line="280" w:lineRule="auto"/>
        <w:ind w:right="146"/>
      </w:pPr>
      <w:r>
        <w:rPr>
          <w:w w:val="99"/>
        </w:rPr>
        <w:t xml:space="preserve"> </w:t>
      </w:r>
      <w:r>
        <w:rPr>
          <w:spacing w:val="-1"/>
          <w:w w:val="95"/>
        </w:rPr>
        <w:t xml:space="preserve">事故响应：如误吞咽：立即呼叫解毒中心或医生。如果皮肤(或头发)接触：立即除去∕脱掉所有沾污的衣物。用水清洗皮肤∕淋浴。    </w:t>
      </w:r>
      <w:r>
        <w:t>如果吸入：将受害人移至空气新鲜处并保持呼吸舒适的姿势休息。如觉不适。呼叫解毒中心或就医。如接触到或有疑虑：求医/就诊</w:t>
      </w:r>
    </w:p>
    <w:p>
      <w:pPr>
        <w:pStyle w:val="3"/>
        <w:spacing w:before="0"/>
      </w:pPr>
      <w:r>
        <w:t>。不得诱导呕吐。如发生皮肤刺激：求医/就诊。在发生火灾时：用干砂。干粉或抗溶性泡沫扑灭。收集溢出物。</w:t>
      </w:r>
    </w:p>
    <w:p>
      <w:pPr>
        <w:pStyle w:val="3"/>
        <w:spacing w:before="40"/>
      </w:pPr>
      <w:r>
        <w:rPr>
          <w:w w:val="99"/>
        </w:rPr>
        <w:t xml:space="preserve"> </w:t>
      </w:r>
      <w:r>
        <w:t>安全存储：存放在通风良好的地方。保持容器密闭。存放在通风良好的地方。保持低温。存放处须加锁。储存温度不超过29℃。</w:t>
      </w:r>
    </w:p>
    <w:p>
      <w:pPr>
        <w:pStyle w:val="3"/>
      </w:pPr>
      <w:r>
        <w:rPr>
          <w:w w:val="96"/>
        </w:rPr>
        <w:t xml:space="preserve"> </w:t>
      </w:r>
      <w:r>
        <w:t>废弃处置：按照地方/区域/国家/国际规章处置内装物/容器。</w:t>
      </w:r>
    </w:p>
    <w:p>
      <w:pPr>
        <w:pStyle w:val="3"/>
        <w:spacing w:before="40"/>
      </w:pPr>
      <w:r>
        <w:rPr>
          <w:w w:val="95"/>
        </w:rPr>
        <w:t xml:space="preserve"> </w:t>
      </w:r>
      <w:r>
        <w:t>2.4 物理化学危险性信息：高度易燃液体和蒸气。</w:t>
      </w:r>
    </w:p>
    <w:p>
      <w:pPr>
        <w:pStyle w:val="3"/>
        <w:spacing w:line="280" w:lineRule="auto"/>
        <w:ind w:right="214"/>
      </w:pPr>
      <w:r>
        <w:rPr>
          <w:w w:val="98"/>
        </w:rPr>
        <w:t xml:space="preserve"> </w:t>
      </w:r>
      <w:r>
        <w:rPr>
          <w:w w:val="95"/>
        </w:rPr>
        <w:t>2.5   健康危害：吞咽及进入呼吸道可能致命。造成皮肤刺激。可能造成昏昏欲睡或眩晕。怀疑对生育能力或胎儿造成伤害。长期吞咽</w:t>
      </w:r>
      <w:r>
        <w:t>或反复接触可能损害(神经系统)器官。并具有长期持续影响。</w:t>
      </w:r>
    </w:p>
    <w:p>
      <w:pPr>
        <w:pStyle w:val="3"/>
        <w:spacing w:before="0"/>
      </w:pPr>
      <w:r>
        <w:rPr>
          <w:w w:val="96"/>
        </w:rPr>
        <w:t xml:space="preserve"> </w:t>
      </w:r>
      <w:r>
        <w:t>2.6 环境危害：对水生生物有毒并有长期持续的影响。</w:t>
      </w:r>
    </w:p>
    <w:p>
      <w:pPr>
        <w:pStyle w:val="3"/>
        <w:spacing w:before="40"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tabs>
          <w:tab w:val="left" w:pos="3626"/>
          <w:tab w:val="left" w:pos="7113"/>
        </w:tabs>
        <w:spacing w:before="0"/>
        <w:ind w:left="140"/>
      </w:pPr>
      <w:r>
        <w:t>主要成分：正己烷</w:t>
      </w:r>
      <w:r>
        <w:tab/>
      </w:r>
      <w:r>
        <w:rPr>
          <w:w w:val="95"/>
        </w:rPr>
        <w:t>110-54-3</w:t>
      </w:r>
      <w:r>
        <w:rPr>
          <w:w w:val="95"/>
        </w:rPr>
        <w:tab/>
      </w:r>
      <w:r>
        <w:t>≤100</w:t>
      </w:r>
    </w:p>
    <w:p>
      <w:pPr>
        <w:spacing w:after="0"/>
        <w:sectPr>
          <w:footerReference r:id="rId5" w:type="default"/>
          <w:pgSz w:w="11900" w:h="16840"/>
          <w:pgMar w:top="760" w:right="600" w:bottom="700" w:left="620" w:header="0" w:footer="509" w:gutter="0"/>
          <w:pgNumType w:start="451"/>
          <w:cols w:space="720" w:num="1"/>
        </w:sectPr>
      </w:pPr>
    </w:p>
    <w:p>
      <w:pPr>
        <w:pStyle w:val="3"/>
        <w:spacing w:before="5"/>
        <w:ind w:left="0"/>
        <w:rPr>
          <w:sz w:val="5"/>
        </w:rPr>
      </w:pPr>
    </w:p>
    <w:p>
      <w:pPr>
        <w:tabs>
          <w:tab w:val="left" w:pos="10568"/>
        </w:tabs>
        <w:spacing w:before="1"/>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6"/>
        </w:rPr>
        <w:t xml:space="preserve">     </w:t>
      </w:r>
      <w:r>
        <w:t>皮肤接触：立即脱掉被污染的衣服和鞋。用肥皂和大量的水冲洗。立即将患者送往医院。请教医生。</w:t>
      </w:r>
    </w:p>
    <w:p>
      <w:pPr>
        <w:pStyle w:val="3"/>
      </w:pPr>
      <w:r>
        <w:rPr>
          <w:w w:val="94"/>
        </w:rPr>
        <w:t xml:space="preserve">     </w:t>
      </w:r>
      <w:r>
        <w:t>眼睛接触：用大量水彻底冲洗至少15分钟并请教医生。</w:t>
      </w:r>
    </w:p>
    <w:p>
      <w:pPr>
        <w:pStyle w:val="3"/>
        <w:spacing w:before="40"/>
      </w:pPr>
      <w:r>
        <w:rPr>
          <w:w w:val="96"/>
        </w:rPr>
        <w:t xml:space="preserve">     </w:t>
      </w:r>
      <w:r>
        <w:t>食入：禁止催吐。切勿给失去知觉者从嘴里喂食任何东西。用水漱口。请教医生。</w:t>
      </w:r>
    </w:p>
    <w:p>
      <w:pPr>
        <w:pStyle w:val="3"/>
        <w:spacing w:line="280" w:lineRule="auto"/>
        <w:ind w:right="274"/>
      </w:pPr>
      <w:r>
        <w:rPr>
          <w:w w:val="95"/>
        </w:rPr>
        <w:t xml:space="preserve"> 4.2 主要症状和影响，急性和迟发效应：延长或重复与皮肤接触可能引起：,脱脂,皮炎,接触眼睛会引起：,发红,视力模糊,催泪。,摄入的影响可包括：,肠胃不适,中枢神经系统抑制,肺部刺激,胸痛,肺水肿,眼花,减少反应时间,言语不清,头痛,头晕,嗜睡,失去知觉</w:t>
      </w:r>
    </w:p>
    <w:p>
      <w:pPr>
        <w:pStyle w:val="3"/>
        <w:spacing w:before="0"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6"/>
        </w:rPr>
        <w:t xml:space="preserve"> </w:t>
      </w:r>
      <w:r>
        <w:rPr>
          <w:w w:val="95"/>
        </w:rPr>
        <w:t>5.2  灭火方法或灭火剂：用泡沫、二氧化碳、干粉、砂土灭火。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6.泄露应急措施</w:t>
      </w:r>
    </w:p>
    <w:p>
      <w:pPr>
        <w:pStyle w:val="3"/>
        <w:spacing w:line="280" w:lineRule="auto"/>
        <w:ind w:right="214"/>
      </w:pPr>
      <w:r>
        <w:rPr>
          <w:w w:val="98"/>
        </w:rPr>
        <w:t xml:space="preserve"> </w:t>
      </w:r>
      <w:r>
        <w:rPr>
          <w:w w:val="95"/>
        </w:rPr>
        <w:t>6.1   作业人员的防护措施、防护设备和应急处置程序：使用个人防护装备。避免吸入蒸气、气雾或气体。保证充分的通风。消除所有</w:t>
      </w:r>
      <w:r>
        <w:t>火源。将人员疏散到安全区域。注意蒸气积累达到可爆炸的浓度，蒸气可蓄积在地面低洼处。</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去,根据当地规定处理(见第14部分)。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before="40" w:line="280" w:lineRule="auto"/>
        <w:ind w:right="214"/>
      </w:pPr>
      <w:r>
        <w:rPr>
          <w:w w:val="98"/>
        </w:rPr>
        <w:t xml:space="preserve"> </w:t>
      </w:r>
      <w:r>
        <w:rPr>
          <w:w w:val="95"/>
        </w:rPr>
        <w:t>7.1   安全处置注意事项：贮存在阴凉处。使容器保持密闭，储存在干燥通风处。打开了的容器必须仔细重新封口并保持竖放位置以防</w:t>
      </w:r>
      <w:r>
        <w:t>止泄漏。</w:t>
      </w:r>
    </w:p>
    <w:p>
      <w:pPr>
        <w:pStyle w:val="3"/>
        <w:spacing w:before="0" w:line="280" w:lineRule="auto"/>
        <w:ind w:right="185"/>
      </w:pPr>
      <w:r>
        <w:rPr>
          <w:w w:val="98"/>
        </w:rPr>
        <w:t xml:space="preserve"> </w:t>
      </w:r>
      <w:r>
        <w:rPr>
          <w:w w:val="95"/>
        </w:rPr>
        <w:t>7.2   安全储存注意事项：储存于阴凉、通风的库房。远离火种、热源。库温不宜超过29℃。保持容器密封。应与氧化剂分开存放，切</w:t>
      </w:r>
      <w:r>
        <w:t>忌混储。采用防爆型照明、通风设施。禁止使用易产生火花的机械设备和工具。储区应备有泄漏应急处理设备和合适的收容材料。</w:t>
      </w:r>
    </w:p>
    <w:p>
      <w:pPr>
        <w:pStyle w:val="3"/>
        <w:spacing w:before="0"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spacing w:before="40"/>
      </w:pPr>
      <w:r>
        <w:rPr>
          <w:w w:val="97"/>
        </w:rPr>
        <w:t xml:space="preserve"> </w:t>
      </w:r>
      <w:r>
        <w:rPr>
          <w:w w:val="95"/>
        </w:rPr>
        <w:t>PC-STEL(mg/m3)：181[皮]</w:t>
      </w:r>
    </w:p>
    <w:p>
      <w:pPr>
        <w:pStyle w:val="3"/>
      </w:pPr>
      <w:r>
        <w:rPr>
          <w:w w:val="109"/>
        </w:rPr>
        <w:t xml:space="preserve"> </w:t>
      </w:r>
      <w:r>
        <w:rPr>
          <w:w w:val="110"/>
        </w:rPr>
        <w:t>TLV-TWA(mg/m3)：51ppm</w:t>
      </w:r>
    </w:p>
    <w:p>
      <w:pPr>
        <w:pStyle w:val="3"/>
      </w:pPr>
      <w:r>
        <w:rPr>
          <w:w w:val="102"/>
        </w:rPr>
        <w:t xml:space="preserve"> </w:t>
      </w:r>
      <w:r>
        <w:t>PC-TWA(mg/m3)：101[皮]</w:t>
      </w:r>
    </w:p>
    <w:p>
      <w:pPr>
        <w:pStyle w:val="3"/>
        <w:spacing w:before="40"/>
      </w:pPr>
      <w:r>
        <w:rPr>
          <w:w w:val="101"/>
        </w:rPr>
        <w:t xml:space="preserve"> </w:t>
      </w:r>
      <w:r>
        <w:t>TLV-C(mg/m3)：无资料</w:t>
      </w:r>
    </w:p>
    <w:p>
      <w:pPr>
        <w:pStyle w:val="3"/>
      </w:pPr>
      <w:r>
        <w:rPr>
          <w:w w:val="103"/>
        </w:rPr>
        <w:t xml:space="preserve"> </w:t>
      </w:r>
      <w:r>
        <w:rPr>
          <w:w w:val="105"/>
        </w:rPr>
        <w:t>TLV=STEL(mg/m3)：无资料</w:t>
      </w:r>
    </w:p>
    <w:p>
      <w:pPr>
        <w:pStyle w:val="3"/>
      </w:pPr>
      <w:r>
        <w:rPr>
          <w:w w:val="95"/>
        </w:rPr>
        <w:t xml:space="preserve"> </w:t>
      </w:r>
      <w:r>
        <w:t>8.2 检测方法：热解吸-气相色谱法；直接进样-气相色谱法。</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before="40"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0"/>
      </w:pPr>
      <w:r>
        <w:rPr>
          <w:w w:val="89"/>
        </w:rPr>
        <w:t xml:space="preserve">     </w:t>
      </w:r>
      <w:r>
        <w:t>手防护：戴耐酸碱手套。</w:t>
      </w:r>
    </w:p>
    <w:p>
      <w:pPr>
        <w:pStyle w:val="3"/>
      </w:pPr>
      <w:r>
        <w:rPr>
          <w:w w:val="95"/>
        </w:rPr>
        <w:t xml:space="preserve">     </w:t>
      </w:r>
      <w:r>
        <w:t>眼睛防护：面罩與安全眼鏡请使用经官方标准检测与批准的设备防护眼部。</w:t>
      </w:r>
    </w:p>
    <w:p>
      <w:pPr>
        <w:pStyle w:val="3"/>
        <w:spacing w:before="40"/>
      </w:pPr>
      <w:r>
        <w:rPr>
          <w:w w:val="95"/>
        </w:rPr>
        <w:t xml:space="preserve">     </w:t>
      </w:r>
      <w:r>
        <w:t>皮肤和身体防护：穿防腐蚀液防酸碱服。穿防静电阻燃防护服。</w:t>
      </w:r>
    </w:p>
    <w:p>
      <w:pPr>
        <w:pStyle w:val="3"/>
        <w:spacing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外观与性状：无色透明液体，微有特殊气味，极易挥发。</w:t>
      </w:r>
      <w:r>
        <w:tab/>
      </w:r>
      <w:r>
        <w:t>气味：微有特殊气味</w:t>
      </w:r>
    </w:p>
    <w:p>
      <w:pPr>
        <w:pStyle w:val="3"/>
        <w:tabs>
          <w:tab w:val="left" w:pos="6415"/>
        </w:tabs>
        <w:spacing w:before="8"/>
        <w:ind w:left="140"/>
      </w:pPr>
      <w:r>
        <w:rPr>
          <w:w w:val="105"/>
        </w:rPr>
        <w:t>气味阈值：无资料</w:t>
      </w:r>
      <w:r>
        <w:rPr>
          <w:w w:val="105"/>
        </w:rPr>
        <w:tab/>
      </w:r>
      <w:r>
        <w:rPr>
          <w:w w:val="105"/>
        </w:rPr>
        <w:t>pH：无资料</w:t>
      </w:r>
    </w:p>
    <w:p>
      <w:pPr>
        <w:pStyle w:val="3"/>
        <w:tabs>
          <w:tab w:val="left" w:pos="6415"/>
        </w:tabs>
        <w:spacing w:before="7"/>
        <w:ind w:left="140"/>
      </w:pPr>
      <w:r>
        <w:rPr>
          <w:w w:val="95"/>
        </w:rPr>
        <w:t>熔点/凝固点(℃)：-95℃</w:t>
      </w:r>
      <w:r>
        <w:rPr>
          <w:w w:val="95"/>
        </w:rPr>
        <w:tab/>
      </w:r>
      <w:r>
        <w:t>沸点、初沸点、沸程(℃)：69℃/760mmHg</w:t>
      </w:r>
    </w:p>
    <w:p>
      <w:pPr>
        <w:pStyle w:val="3"/>
        <w:tabs>
          <w:tab w:val="left" w:pos="6415"/>
        </w:tabs>
        <w:spacing w:before="8"/>
        <w:ind w:left="140"/>
      </w:pPr>
      <w:r>
        <w:rPr>
          <w:w w:val="90"/>
        </w:rPr>
        <w:t>密度/相对密度(水=1)：ρ(20)0.658-0.662g/mL</w:t>
      </w:r>
      <w:r>
        <w:rPr>
          <w:w w:val="90"/>
        </w:rPr>
        <w:tab/>
      </w:r>
      <w:r>
        <w:t>蒸汽密度(空气=1)：2.97</w:t>
      </w:r>
    </w:p>
    <w:p>
      <w:pPr>
        <w:pStyle w:val="3"/>
        <w:tabs>
          <w:tab w:val="left" w:pos="6415"/>
        </w:tabs>
        <w:spacing w:before="8"/>
        <w:ind w:left="140"/>
      </w:pPr>
      <w:r>
        <w:rPr>
          <w:w w:val="95"/>
        </w:rPr>
        <w:t>蒸汽压(kPa)：17(21℃)</w:t>
      </w:r>
      <w:r>
        <w:rPr>
          <w:w w:val="95"/>
        </w:rPr>
        <w:tab/>
      </w:r>
      <w:r>
        <w:t>燃烧热(kJ/mol)：4159.1</w:t>
      </w:r>
    </w:p>
    <w:p>
      <w:pPr>
        <w:pStyle w:val="3"/>
        <w:tabs>
          <w:tab w:val="left" w:pos="6415"/>
        </w:tabs>
        <w:spacing w:before="8"/>
        <w:ind w:left="140"/>
      </w:pPr>
      <w:r>
        <w:t>分解温度：234.8</w:t>
      </w:r>
      <w:r>
        <w:tab/>
      </w:r>
      <w:r>
        <w:t>临界压力：3.09</w:t>
      </w:r>
    </w:p>
    <w:p>
      <w:pPr>
        <w:pStyle w:val="3"/>
        <w:tabs>
          <w:tab w:val="left" w:pos="6415"/>
        </w:tabs>
        <w:spacing w:before="8"/>
        <w:ind w:left="140"/>
      </w:pPr>
      <w:r>
        <w:rPr>
          <w:w w:val="95"/>
        </w:rPr>
        <w:t>辛醇/水分配系数的对数值：3.9</w:t>
      </w:r>
      <w:r>
        <w:rPr>
          <w:w w:val="95"/>
        </w:rPr>
        <w:tab/>
      </w:r>
      <w:r>
        <w:t>闪点(℃)：-7.6℉/-22℃</w:t>
      </w:r>
    </w:p>
    <w:p>
      <w:pPr>
        <w:pStyle w:val="3"/>
        <w:tabs>
          <w:tab w:val="left" w:pos="6415"/>
        </w:tabs>
        <w:spacing w:before="7"/>
        <w:ind w:left="140"/>
      </w:pPr>
      <w:r>
        <w:t>自燃温度(℃)：225</w:t>
      </w:r>
      <w:r>
        <w:tab/>
      </w:r>
      <w:r>
        <w:t>爆炸上限%（V/V）：7.5</w:t>
      </w:r>
    </w:p>
    <w:p>
      <w:pPr>
        <w:pStyle w:val="3"/>
        <w:tabs>
          <w:tab w:val="left" w:pos="6415"/>
        </w:tabs>
        <w:spacing w:before="8" w:line="247" w:lineRule="auto"/>
        <w:ind w:left="140" w:right="2333"/>
      </w:pPr>
      <w:r>
        <w:t>溶解性：能与乙醇、乙醚和氯仿任意混溶，几乎不溶于水。</w:t>
      </w:r>
      <w:r>
        <w:tab/>
      </w:r>
      <w:r>
        <w:rPr>
          <w:spacing w:val="-1"/>
        </w:rPr>
        <w:t>爆炸下限</w:t>
      </w:r>
      <w:r>
        <w:t>%（V/V）：1.1 易燃性（固体、气体）：无资料</w:t>
      </w:r>
      <w:r>
        <w:tab/>
      </w:r>
      <w:r>
        <w:t>蒸发速率：无资料</w:t>
      </w:r>
    </w:p>
    <w:p>
      <w:pPr>
        <w:spacing w:before="13"/>
        <w:ind w:left="100" w:right="0" w:firstLine="0"/>
        <w:jc w:val="left"/>
        <w:rPr>
          <w:sz w:val="6"/>
        </w:rPr>
      </w:pPr>
      <w:r>
        <w:rPr>
          <w:w w:val="41"/>
          <w:sz w:val="6"/>
        </w:rPr>
        <w:t xml:space="preserve"> </w:t>
      </w:r>
    </w:p>
    <w:p>
      <w:pPr>
        <w:spacing w:after="0"/>
        <w:jc w:val="left"/>
        <w:rPr>
          <w:sz w:val="6"/>
        </w:rPr>
        <w:sectPr>
          <w:pgSz w:w="11900" w:h="16840"/>
          <w:pgMar w:top="680" w:right="600" w:bottom="700" w:left="620" w:header="0" w:footer="509" w:gutter="0"/>
          <w:cols w:space="720" w:num="1"/>
        </w:sectPr>
      </w:pPr>
    </w:p>
    <w:p>
      <w:pPr>
        <w:pStyle w:val="3"/>
        <w:spacing w:before="50"/>
      </w:pPr>
      <w:r>
        <w:rPr>
          <w:w w:val="95"/>
        </w:rPr>
        <w:t>10.稳定性和反应性</w:t>
      </w:r>
    </w:p>
    <w:p>
      <w:pPr>
        <w:pStyle w:val="3"/>
      </w:pPr>
      <w:r>
        <w:rPr>
          <w:w w:val="89"/>
        </w:rPr>
        <w:t xml:space="preserve"> </w:t>
      </w:r>
      <w:r>
        <w:rPr>
          <w:w w:val="90"/>
        </w:rPr>
        <w:t>10.1</w:t>
      </w:r>
      <w:r>
        <w:rPr>
          <w:spacing w:val="-3"/>
          <w:w w:val="90"/>
        </w:rPr>
        <w:t xml:space="preserve"> 稳定性：稳定</w:t>
      </w:r>
    </w:p>
    <w:p>
      <w:pPr>
        <w:pStyle w:val="3"/>
      </w:pPr>
      <w:r>
        <w:rPr>
          <w:w w:val="91"/>
        </w:rPr>
        <w:t xml:space="preserve"> </w:t>
      </w:r>
      <w:r>
        <w:t>10.2 危险反应：无资料</w:t>
      </w:r>
    </w:p>
    <w:p>
      <w:pPr>
        <w:pStyle w:val="3"/>
        <w:spacing w:before="40"/>
      </w:pPr>
      <w:r>
        <w:rPr>
          <w:w w:val="92"/>
        </w:rPr>
        <w:t xml:space="preserve"> </w:t>
      </w:r>
      <w:r>
        <w:t>10.3 应避免的条件：无资料</w:t>
      </w:r>
    </w:p>
    <w:p>
      <w:pPr>
        <w:pStyle w:val="3"/>
      </w:pPr>
      <w:r>
        <w:rPr>
          <w:w w:val="95"/>
        </w:rPr>
        <w:t xml:space="preserve"> </w:t>
      </w:r>
      <w:r>
        <w:t>10.4 不相容物质：强氧化剂、强酸、强碱、卤素。</w:t>
      </w:r>
    </w:p>
    <w:p>
      <w:pPr>
        <w:pStyle w:val="3"/>
        <w:spacing w:before="40"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11.毒理学信息</w:t>
      </w:r>
    </w:p>
    <w:p>
      <w:pPr>
        <w:pStyle w:val="3"/>
      </w:pPr>
      <w:r>
        <w:rPr>
          <w:w w:val="95"/>
        </w:rPr>
        <w:t xml:space="preserve"> </w:t>
      </w:r>
      <w:r>
        <w:t>11.1 急性毒性：LD50经口-大鼠-25,000mg/kgLC50吸入-大鼠-4h-48001ppm</w:t>
      </w:r>
    </w:p>
    <w:p>
      <w:pPr>
        <w:pStyle w:val="3"/>
      </w:pPr>
      <w:r>
        <w:rPr>
          <w:w w:val="93"/>
        </w:rPr>
        <w:t xml:space="preserve"> </w:t>
      </w:r>
      <w:r>
        <w:t>11.2 皮肤刺激或腐蚀：刺激皮肤。</w:t>
      </w:r>
    </w:p>
    <w:p>
      <w:pPr>
        <w:pStyle w:val="3"/>
        <w:spacing w:before="40"/>
      </w:pPr>
      <w:r>
        <w:rPr>
          <w:w w:val="94"/>
        </w:rPr>
        <w:t xml:space="preserve"> </w:t>
      </w:r>
      <w:r>
        <w:t>11.3 眼睛刺激和腐蚀：眼睛-家兔-轻度的眼睛刺激</w:t>
      </w:r>
    </w:p>
    <w:p>
      <w:pPr>
        <w:pStyle w:val="3"/>
      </w:pPr>
      <w:r>
        <w:rPr>
          <w:w w:val="93"/>
        </w:rPr>
        <w:t xml:space="preserve"> </w:t>
      </w:r>
      <w:r>
        <w:rPr>
          <w:w w:val="95"/>
        </w:rPr>
        <w:t>11.4</w:t>
      </w:r>
      <w:r>
        <w:rPr>
          <w:spacing w:val="-7"/>
          <w:w w:val="95"/>
        </w:rPr>
        <w:t xml:space="preserve"> 呼吸或皮肤过敏：无资料</w:t>
      </w:r>
    </w:p>
    <w:p>
      <w:pPr>
        <w:pStyle w:val="3"/>
        <w:spacing w:before="40"/>
      </w:pPr>
      <w:r>
        <w:rPr>
          <w:w w:val="93"/>
        </w:rPr>
        <w:t xml:space="preserve"> </w:t>
      </w:r>
      <w:r>
        <w:rPr>
          <w:w w:val="95"/>
        </w:rPr>
        <w:t>11.5</w:t>
      </w:r>
      <w:r>
        <w:rPr>
          <w:spacing w:val="-7"/>
          <w:w w:val="95"/>
        </w:rPr>
        <w:t xml:space="preserve"> 生殖细胞突变性：无资料</w:t>
      </w:r>
    </w:p>
    <w:p>
      <w:pPr>
        <w:pStyle w:val="3"/>
      </w:pPr>
      <w:r>
        <w:rPr>
          <w:w w:val="90"/>
        </w:rPr>
        <w:t xml:space="preserve"> </w:t>
      </w:r>
      <w:r>
        <w:t>11.6 致癌性：无资料</w:t>
      </w:r>
    </w:p>
    <w:p>
      <w:pPr>
        <w:pStyle w:val="3"/>
      </w:pPr>
      <w:r>
        <w:rPr>
          <w:w w:val="98"/>
        </w:rPr>
        <w:t xml:space="preserve"> </w:t>
      </w:r>
      <w:r>
        <w:t>11.7 生殖毒性：从实验动物的结果看，过度接触能导致生殖紊乱可疑人类的生殖毒物怀疑对生育能力造成伤害。</w:t>
      </w:r>
    </w:p>
    <w:p>
      <w:pPr>
        <w:pStyle w:val="3"/>
        <w:spacing w:before="40"/>
      </w:pPr>
      <w:r>
        <w:rPr>
          <w:w w:val="96"/>
        </w:rPr>
        <w:t xml:space="preserve"> </w:t>
      </w:r>
      <w:r>
        <w:t>11.8 特异性靶器官系统毒性（一次接触）：可能造成昏昏欲睡或眩晕。</w:t>
      </w:r>
    </w:p>
    <w:p>
      <w:pPr>
        <w:pStyle w:val="3"/>
      </w:pPr>
      <w:r>
        <w:rPr>
          <w:w w:val="97"/>
        </w:rPr>
        <w:t xml:space="preserve"> </w:t>
      </w:r>
      <w:r>
        <w:t>11.9 特异性靶器官系统毒性（反复接触）：食入-长期或反复接触可能损害器官。-神经系统</w:t>
      </w:r>
    </w:p>
    <w:p>
      <w:pPr>
        <w:pStyle w:val="3"/>
      </w:pPr>
      <w:r>
        <w:rPr>
          <w:w w:val="95"/>
        </w:rPr>
        <w:t xml:space="preserve"> </w:t>
      </w:r>
      <w:r>
        <w:t>11.10 吸入危险：吞咽及进入呼吸道可能致命。</w:t>
      </w:r>
    </w:p>
    <w:p>
      <w:pPr>
        <w:pStyle w:val="3"/>
        <w:spacing w:before="40"/>
      </w:pPr>
      <w:r>
        <w:rPr>
          <w:w w:val="91"/>
        </w:rPr>
        <w:t xml:space="preserve"> </w:t>
      </w:r>
      <w:r>
        <w:t>11.11 潜在的健康危险：</w:t>
      </w:r>
    </w:p>
    <w:p>
      <w:pPr>
        <w:pStyle w:val="3"/>
      </w:pPr>
      <w:r>
        <w:rPr>
          <w:w w:val="98"/>
        </w:rPr>
        <w:t xml:space="preserve"> </w:t>
      </w:r>
      <w:r>
        <w:t>吸入：吸入有害。引起呼吸道刺激。蒸气可引起睡意和眩昏。</w:t>
      </w:r>
    </w:p>
    <w:p>
      <w:pPr>
        <w:pStyle w:val="3"/>
        <w:spacing w:before="40"/>
      </w:pPr>
      <w:r>
        <w:rPr>
          <w:w w:val="98"/>
        </w:rPr>
        <w:t xml:space="preserve"> </w:t>
      </w:r>
      <w:r>
        <w:t>摄入：吞咽有害。摄入有吸入危害-能进入肺部并引起损伤。</w:t>
      </w:r>
    </w:p>
    <w:p>
      <w:pPr>
        <w:pStyle w:val="3"/>
      </w:pPr>
      <w:r>
        <w:rPr>
          <w:w w:val="98"/>
        </w:rPr>
        <w:t xml:space="preserve"> </w:t>
      </w:r>
      <w:r>
        <w:t>皮肤：通过皮肤吸收有害。引起皮肤刺激。</w:t>
      </w:r>
    </w:p>
    <w:p>
      <w:pPr>
        <w:pStyle w:val="3"/>
        <w:spacing w:line="220" w:lineRule="exact"/>
      </w:pPr>
      <w:r>
        <w:rPr>
          <w:w w:val="97"/>
        </w:rPr>
        <w:t xml:space="preserve"> </w:t>
      </w:r>
      <w:r>
        <w:t>眼睛：引起眼睛刺激。</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12.生态学信息</w:t>
      </w:r>
    </w:p>
    <w:p>
      <w:pPr>
        <w:pStyle w:val="3"/>
        <w:spacing w:before="40"/>
      </w:pPr>
      <w:r>
        <w:rPr>
          <w:w w:val="94"/>
        </w:rPr>
        <w:t xml:space="preserve"> </w:t>
      </w:r>
      <w:r>
        <w:t>12.1 生态毒性：半数致死浓度LC50：4mg/l/24h(鱼)半数抑制浓度IC50：10mg/l/73h(藻类)</w:t>
      </w:r>
    </w:p>
    <w:p>
      <w:pPr>
        <w:pStyle w:val="3"/>
      </w:pPr>
      <w:r>
        <w:rPr>
          <w:w w:val="98"/>
        </w:rPr>
        <w:t xml:space="preserve"> </w:t>
      </w:r>
      <w:r>
        <w:t>12.2 持久性和降解性：生物降解性：BOD5：2.21非生物降解性：COD：0.05</w:t>
      </w:r>
    </w:p>
    <w:p>
      <w:pPr>
        <w:pStyle w:val="3"/>
      </w:pPr>
      <w:r>
        <w:rPr>
          <w:w w:val="93"/>
        </w:rPr>
        <w:t xml:space="preserve"> </w:t>
      </w:r>
      <w:r>
        <w:t>12.3 潜在的生物累积性：无资料</w:t>
      </w:r>
    </w:p>
    <w:p>
      <w:pPr>
        <w:pStyle w:val="3"/>
        <w:spacing w:before="40"/>
      </w:pPr>
      <w:r>
        <w:rPr>
          <w:w w:val="93"/>
        </w:rPr>
        <w:t xml:space="preserve"> </w:t>
      </w:r>
      <w:r>
        <w:t>12.4 土壤中的迁移性：无资料</w:t>
      </w:r>
    </w:p>
    <w:p>
      <w:pPr>
        <w:pStyle w:val="3"/>
        <w:spacing w:line="220" w:lineRule="exact"/>
      </w:pPr>
      <w:r>
        <w:rPr>
          <w:w w:val="97"/>
        </w:rPr>
        <w:t xml:space="preserve"> </w:t>
      </w:r>
      <w:r>
        <w:t>12.5 其它不良影响：该物质对环境可能有危害，应特别注意对地表水、土壤、大气和饮用水的污染。</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spacing w:before="40"/>
      </w:pPr>
      <w:r>
        <w:rPr>
          <w:w w:val="95"/>
        </w:rPr>
        <w:t xml:space="preserve"> </w:t>
      </w:r>
      <w:r>
        <w:t>13.1 残余废弃物处置方法：建议用焚烧法处置。</w:t>
      </w:r>
    </w:p>
    <w:p>
      <w:pPr>
        <w:pStyle w:val="3"/>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spacing w:before="40"/>
      </w:pPr>
      <w:r>
        <w:rPr>
          <w:w w:val="96"/>
        </w:rPr>
        <w:t xml:space="preserve">  </w:t>
      </w:r>
      <w:r>
        <w:t>危规号CN：31005</w:t>
      </w:r>
    </w:p>
    <w:p>
      <w:pPr>
        <w:pStyle w:val="3"/>
      </w:pPr>
      <w:r>
        <w:rPr>
          <w:w w:val="94"/>
        </w:rPr>
        <w:t xml:space="preserve">  </w:t>
      </w:r>
      <w:r>
        <w:rPr>
          <w:w w:val="90"/>
        </w:rPr>
        <w:t>联合国危险货物编号：1208</w:t>
      </w:r>
    </w:p>
    <w:p>
      <w:pPr>
        <w:pStyle w:val="3"/>
        <w:spacing w:before="40"/>
      </w:pPr>
      <w:r>
        <w:rPr>
          <w:w w:val="94"/>
        </w:rPr>
        <w:t xml:space="preserve">  </w:t>
      </w:r>
      <w:r>
        <w:rPr>
          <w:w w:val="90"/>
        </w:rPr>
        <w:t>联合国运输名称：Hexanes</w:t>
      </w:r>
    </w:p>
    <w:p>
      <w:pPr>
        <w:pStyle w:val="3"/>
      </w:pPr>
      <w:r>
        <w:rPr>
          <w:w w:val="94"/>
        </w:rPr>
        <w:t xml:space="preserve">  </w:t>
      </w:r>
      <w:r>
        <w:t>联合国危险性分类：3</w:t>
      </w:r>
    </w:p>
    <w:p>
      <w:pPr>
        <w:pStyle w:val="3"/>
      </w:pPr>
      <w:r>
        <w:rPr>
          <w:w w:val="90"/>
        </w:rPr>
        <w:t xml:space="preserve">  </w:t>
      </w:r>
      <w:r>
        <w:t>包装组：Ⅱ</w:t>
      </w:r>
    </w:p>
    <w:p>
      <w:pPr>
        <w:pStyle w:val="3"/>
        <w:spacing w:before="40"/>
      </w:pPr>
      <w:r>
        <w:rPr>
          <w:w w:val="93"/>
        </w:rPr>
        <w:t xml:space="preserve">  </w:t>
      </w:r>
      <w:r>
        <w:t>包装方法：无资料</w:t>
      </w:r>
    </w:p>
    <w:p>
      <w:pPr>
        <w:pStyle w:val="3"/>
      </w:pPr>
      <w:r>
        <w:rPr>
          <w:w w:val="93"/>
        </w:rPr>
        <w:t xml:space="preserve">  </w:t>
      </w:r>
      <w:r>
        <w:t>海洋污染物（是/否）：是</w:t>
      </w:r>
    </w:p>
    <w:p>
      <w:pPr>
        <w:pStyle w:val="3"/>
        <w:spacing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15.法规信息</w:t>
      </w:r>
    </w:p>
    <w:p>
      <w:pPr>
        <w:pStyle w:val="3"/>
      </w:pPr>
      <w:r>
        <w:t>下列法律法规和标准，对化学品的安全使用、储存、运输、装卸、分类和标志等方面均作了相应的规定：</w:t>
      </w:r>
    </w:p>
    <w:p>
      <w:pPr>
        <w:pStyle w:val="3"/>
      </w:pPr>
      <w:r>
        <w:rPr>
          <w:w w:val="88"/>
        </w:rPr>
        <w:t xml:space="preserve">        </w:t>
      </w:r>
      <w:r>
        <w:t>《危险化学品名录》（2015版）：列入</w:t>
      </w:r>
    </w:p>
    <w:p>
      <w:pPr>
        <w:pStyle w:val="3"/>
        <w:spacing w:before="40"/>
      </w:pPr>
      <w:r>
        <w:rPr>
          <w:w w:val="89"/>
        </w:rPr>
        <w:t xml:space="preserve">        </w:t>
      </w:r>
      <w:r>
        <w:t>《易制毒化学品名录》（2002版）：未列入</w:t>
      </w:r>
    </w:p>
    <w:p>
      <w:pPr>
        <w:pStyle w:val="3"/>
      </w:pPr>
      <w:r>
        <w:rPr>
          <w:w w:val="90"/>
        </w:rPr>
        <w:t xml:space="preserve">        </w:t>
      </w:r>
      <w:r>
        <w:t>《易制爆危险化学品名录》（2011版）：未列入</w:t>
      </w:r>
    </w:p>
    <w:p>
      <w:pPr>
        <w:pStyle w:val="3"/>
      </w:pPr>
      <w:r>
        <w:rPr>
          <w:w w:val="92"/>
        </w:rPr>
        <w:t xml:space="preserve">        </w:t>
      </w:r>
      <w:r>
        <w:t>化学品分类、警示标签和警示性说明规范系列标准（GB 20576～GB 20602）</w:t>
      </w:r>
    </w:p>
    <w:p>
      <w:pPr>
        <w:pStyle w:val="3"/>
        <w:spacing w:before="40"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16.其他信息</w:t>
      </w:r>
    </w:p>
    <w:p>
      <w:pPr>
        <w:pStyle w:val="3"/>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spacing w:after="0"/>
        <w:sectPr>
          <w:pgSz w:w="11900" w:h="16840"/>
          <w:pgMar w:top="760" w:right="600" w:bottom="700" w:left="620" w:header="0" w:footer="509" w:gutter="0"/>
          <w:cols w:space="720" w:num="1"/>
        </w:sectPr>
      </w:pPr>
    </w:p>
    <w:p>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mc:AlternateContent>
        <mc:Choice Requires="wps">
          <w:drawing>
            <wp:anchor distT="0" distB="0" distL="114300" distR="114300" simplePos="0" relativeHeight="251660288" behindDoc="1" locked="0" layoutInCell="1" allowOverlap="1">
              <wp:simplePos x="0" y="0"/>
              <wp:positionH relativeFrom="page">
                <wp:posOffset>6362700</wp:posOffset>
              </wp:positionH>
              <wp:positionV relativeFrom="page">
                <wp:posOffset>10225405</wp:posOffset>
              </wp:positionV>
              <wp:extent cx="304165" cy="2044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304165" cy="204470"/>
                      </a:xfrm>
                      <a:prstGeom prst="rect">
                        <a:avLst/>
                      </a:prstGeom>
                      <a:noFill/>
                      <a:ln>
                        <a:noFill/>
                      </a:ln>
                    </wps:spPr>
                    <wps:txbx>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451</w:t>
                          </w:r>
                          <w:r>
                            <w:fldChar w:fldCharType="end"/>
                          </w:r>
                        </w:p>
                      </w:txbxContent>
                    </wps:txbx>
                    <wps:bodyPr lIns="0" tIns="0" rIns="0" bIns="0" upright="1"/>
                  </wps:wsp>
                </a:graphicData>
              </a:graphic>
            </wp:anchor>
          </w:drawing>
        </mc:Choice>
        <mc:Fallback>
          <w:pict>
            <v:shape id="_x0000_s1026" o:spid="_x0000_s1026" o:spt="202" type="#_x0000_t202" style="position:absolute;left:0pt;margin-left:501pt;margin-top:805.15pt;height:16.1pt;width:23.95pt;mso-position-horizontal-relative:page;mso-position-vertical-relative:page;z-index:-251656192;mso-width-relative:page;mso-height-relative:page;" filled="f" stroked="f" coordsize="21600,21600" o:gfxdata="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7gWii2wAAAA8BAAAPAAAAAAAAAAEAIAAAACIAAABkcnMvZG93bnJldi54bWxQ&#10;SwECFAAUAAAACACHTuJAhkDO0LsBAABxAwAADgAAAAAAAAABACAAAAAqAQAAZHJzL2Uyb0RvYy54&#10;bWxQSwUGAAAAAAYABgBZAQAAVwUAAAAA&#10;">
              <v:path/>
              <v:fill on="f" focussize="0,0"/>
              <v:stroke on="f" joinstyle="miter"/>
              <v:imagedata o:title=""/>
              <o:lock v:ext="edit"/>
              <v:textbox inset="0mm,0mm,0mm,0mm">
                <w:txbxContent>
                  <w:p>
                    <w:pPr>
                      <w:spacing w:before="10"/>
                      <w:ind w:left="40" w:right="0" w:firstLine="0"/>
                      <w:jc w:val="left"/>
                      <w:rPr>
                        <w:rFonts w:ascii="Times New Roman"/>
                        <w:sz w:val="24"/>
                      </w:rPr>
                    </w:pPr>
                    <w:r>
                      <w:fldChar w:fldCharType="begin"/>
                    </w:r>
                    <w:r>
                      <w:rPr>
                        <w:rFonts w:ascii="Times New Roman"/>
                        <w:w w:val="110"/>
                        <w:sz w:val="24"/>
                      </w:rPr>
                      <w:instrText xml:space="preserve"> PAGE </w:instrText>
                    </w:r>
                    <w:r>
                      <w:fldChar w:fldCharType="separate"/>
                    </w:r>
                    <w:r>
                      <w:t>451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00000000"/>
    <w:rsid w:val="16047413"/>
    <w:rsid w:val="65EC0F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semiHidden/>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2023-10-08T01:46:00Z</dcterms:created>
  <dc:creator>Administrator</dc:creator>
  <cp:lastModifiedBy>刘文丹。</cp:lastModifiedBy>
  <dcterms:modified xsi:type="dcterms:W3CDTF">2023-11-02T08:48:23Z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86CE17E0AB684162B382D3587C0D4D34_12</vt:lpwstr>
  </property>
</Properties>
</file>