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过氧化氢，水溶液</w:t>
      </w:r>
      <w:r>
        <w:rPr>
          <w:rFonts w:hint="eastAsia"/>
          <w:lang w:eastAsia="zh-CN"/>
        </w:rPr>
        <w:t>说明书</w:t>
      </w:r>
    </w:p>
    <w:bookmarkEnd w:id="0"/>
    <w:p>
      <w:pPr>
        <w:pStyle w:val="3"/>
        <w:spacing w:before="0"/>
      </w:pPr>
      <w:r>
        <w:t>1.化学品及企业标识</w:t>
      </w:r>
    </w:p>
    <w:p>
      <w:pPr>
        <w:pStyle w:val="3"/>
      </w:pPr>
      <w:r>
        <w:t>中文名：过氧化氢，水溶液</w:t>
      </w:r>
    </w:p>
    <w:p>
      <w:pPr>
        <w:pStyle w:val="3"/>
        <w:spacing w:before="40" w:line="280" w:lineRule="auto"/>
        <w:ind w:right="7173"/>
      </w:pPr>
      <w:r>
        <w:rPr>
          <w:w w:val="90"/>
        </w:rPr>
        <w:t xml:space="preserve">英文名：Hydrogen peroxide aqueous solution </w:t>
      </w:r>
      <w:r>
        <w:t>中文别名：过氧化氢，水溶液；双氧水</w:t>
      </w:r>
    </w:p>
    <w:p>
      <w:pPr>
        <w:pStyle w:val="3"/>
        <w:spacing w:before="0" w:line="280" w:lineRule="auto"/>
        <w:ind w:right="6468"/>
      </w:pPr>
      <w:r>
        <w:rPr>
          <w:w w:val="90"/>
        </w:rPr>
        <w:t xml:space="preserve">英文别名：Hydrogen peroxide aqueous </w:t>
      </w:r>
      <w:r>
        <w:rPr>
          <w:spacing w:val="-2"/>
          <w:w w:val="90"/>
        </w:rPr>
        <w:t xml:space="preserve">solution;Hioxyl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CSDS7722-84-1 过氧化氢，水溶液</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89"/>
        <w:jc w:val="both"/>
      </w:pPr>
      <w:r>
        <w:rPr>
          <w:w w:val="98"/>
        </w:rPr>
        <w:t xml:space="preserve"> </w:t>
      </w:r>
      <w:r>
        <w:rPr>
          <w:w w:val="95"/>
        </w:rPr>
        <w:t>2.1    紧急情况概述：无色透明液体。可能引起燃烧或爆炸；强氧化剂。吞咽有害。造成严重皮肤灼伤和眼损伤。吸入可能有害。对水</w:t>
      </w:r>
      <w:r>
        <w:rPr>
          <w:spacing w:val="-1"/>
          <w:w w:val="95"/>
        </w:rPr>
        <w:t xml:space="preserve">生生物有害。过量接触需采取特殊急救措施和进行医疗随访。用水雾,耐醇泡沫,干粉或二氧化碳灭火。如必要的话,戴自给式呼吸器去    </w:t>
      </w:r>
      <w:r>
        <w:t>救火。</w:t>
      </w:r>
    </w:p>
    <w:p>
      <w:pPr>
        <w:pStyle w:val="3"/>
        <w:spacing w:before="1" w:line="280" w:lineRule="auto"/>
        <w:ind w:right="120"/>
      </w:pPr>
      <w:r>
        <w:rPr>
          <w:w w:val="99"/>
        </w:rPr>
        <w:t xml:space="preserve"> </w:t>
      </w:r>
      <w:r>
        <w:t>2.2</w:t>
      </w:r>
      <w:r>
        <w:rPr>
          <w:spacing w:val="-59"/>
        </w:rPr>
        <w:t xml:space="preserve"> </w:t>
      </w:r>
      <w:r>
        <w:t>GHS危险性分类：氧化性液体（类别2）急性毒性（经口）（类别4）急性毒性（吸入）（类别5）皮肤腐蚀（类别1A）</w:t>
      </w:r>
      <w:r>
        <w:rPr>
          <w:spacing w:val="-4"/>
        </w:rPr>
        <w:t>严重的眼损</w:t>
      </w:r>
      <w:r>
        <w:t>伤（类别1）急性水生毒性（类别3）</w:t>
      </w:r>
    </w:p>
    <w:p>
      <w:pPr>
        <w:pStyle w:val="3"/>
        <w:spacing w:before="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6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7.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1792605</wp:posOffset>
            </wp:positionH>
            <wp:positionV relativeFrom="paragraph">
              <wp:posOffset>189865</wp:posOffset>
            </wp:positionV>
            <wp:extent cx="754380" cy="762000"/>
            <wp:effectExtent l="0" t="0" r="7620" b="0"/>
            <wp:wrapTopAndBottom/>
            <wp:docPr id="6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jpeg"/>
                    <pic:cNvPicPr>
                      <a:picLocks noChangeAspect="1"/>
                    </pic:cNvPicPr>
                  </pic:nvPicPr>
                  <pic:blipFill>
                    <a:blip r:embed="rId7"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189865</wp:posOffset>
            </wp:positionV>
            <wp:extent cx="762000" cy="762000"/>
            <wp:effectExtent l="0" t="0" r="0" b="0"/>
            <wp:wrapTopAndBottom/>
            <wp:docPr id="7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5.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t>危险信息：可能引起燃烧或爆炸；强氧化剂。吞咽有害。造成严重皮肤灼伤和眼损伤。吸入可能有害。对水生生物有害。</w:t>
      </w:r>
    </w:p>
    <w:p>
      <w:pPr>
        <w:pStyle w:val="3"/>
        <w:spacing w:line="280" w:lineRule="auto"/>
        <w:ind w:right="220"/>
      </w:pPr>
      <w:r>
        <w:rPr>
          <w:w w:val="99"/>
        </w:rPr>
        <w:t xml:space="preserve"> </w:t>
      </w:r>
      <w:r>
        <w:rPr>
          <w:w w:val="95"/>
        </w:rPr>
        <w:t>预防措施：切勿受热。保持远离/</w:t>
      </w:r>
      <w:r>
        <w:rPr>
          <w:spacing w:val="-1"/>
          <w:w w:val="95"/>
        </w:rPr>
        <w:t xml:space="preserve">贮存处远离服装可燃材料。采取一切防范措施。避免与可燃物混合。操作后彻底清洁皮肤。使用本     </w:t>
      </w:r>
      <w:r>
        <w:t>产品时不要进食、饮水或吸烟。避免释放到环境中。戴防护手套/穿防护服/戴护目镜/戴面罩。穿防火/阻燃服装。</w:t>
      </w:r>
    </w:p>
    <w:p>
      <w:pPr>
        <w:pStyle w:val="3"/>
        <w:spacing w:before="1"/>
      </w:pPr>
      <w:r>
        <w:rPr>
          <w:w w:val="98"/>
        </w:rPr>
        <w:t xml:space="preserve"> </w:t>
      </w:r>
      <w:r>
        <w:t>事故响应：如果吞下去了:如感觉不适。呼救解毒中心或看医生。如误吞咽：漱口。不要诱导呕吐。如皮肤(或头发)沾染：立即去除</w:t>
      </w:r>
    </w:p>
    <w:p>
      <w:pPr>
        <w:pStyle w:val="3"/>
        <w:spacing w:line="280" w:lineRule="auto"/>
        <w:ind w:right="139"/>
      </w:pPr>
      <w:r>
        <w:rPr>
          <w:w w:val="95"/>
        </w:rPr>
        <w:t xml:space="preserve">/脱掉所有沾染的衣服。用水清洗皮肤/淋浴。如吸入。将患者移至新鲜空气处并保持呼吸顺畅的姿势休息。如与眼睛接触。用水缓慢     </w:t>
      </w:r>
      <w:r>
        <w:rPr>
          <w:spacing w:val="-1"/>
        </w:rPr>
        <w:t>温和地冲洗几分钟。如戴隐形眼镜并可方便地取出。取出隐形眼镜。然后继续冲洗。如沾染衣服：立即用大量清水冲洗沾染的衣服和</w:t>
      </w:r>
      <w:r>
        <w:rPr>
          <w:w w:val="95"/>
        </w:rPr>
        <w:t xml:space="preserve">皮肤。然后脱掉衣服。立即呼叫中毒控制中心或医生。具体治疗(见本标签上提供的急救指导)。沾染的衣服清洗后方可重新使用。火     </w:t>
      </w:r>
      <w:r>
        <w:rPr>
          <w:spacing w:val="-1"/>
        </w:rPr>
        <w:t>灾时：用干的砂子。干的化学品或耐醇性的泡沫来灭火。在发生大火和大量泄漏的情况下：撤离现场。因有爆炸危险。须远距离救火</w:t>
      </w:r>
    </w:p>
    <w:p>
      <w:pPr>
        <w:pStyle w:val="3"/>
        <w:spacing w:before="1"/>
      </w:pPr>
      <w:r>
        <w:t>。</w:t>
      </w:r>
    </w:p>
    <w:p>
      <w:pPr>
        <w:pStyle w:val="3"/>
      </w:pPr>
      <w:r>
        <w:rPr>
          <w:w w:val="99"/>
        </w:rPr>
        <w:t xml:space="preserve"> </w:t>
      </w:r>
      <w:r>
        <w:t>安全存储：存放处须加锁。分开存放。存放在通风良好的地方。保持容器密闭。建议的储存温度：2-8℃。相对湿度不超过75%。</w:t>
      </w:r>
    </w:p>
    <w:p>
      <w:pPr>
        <w:pStyle w:val="3"/>
        <w:spacing w:before="40"/>
      </w:pPr>
      <w:r>
        <w:rPr>
          <w:w w:val="96"/>
        </w:rPr>
        <w:t xml:space="preserve"> </w:t>
      </w:r>
      <w:r>
        <w:rPr>
          <w:w w:val="95"/>
        </w:rPr>
        <w:t>废弃处置：按照地方/区域/国家/国际规章处置内装物/容器。</w:t>
      </w:r>
    </w:p>
    <w:p>
      <w:pPr>
        <w:pStyle w:val="3"/>
      </w:pPr>
      <w:r>
        <w:rPr>
          <w:w w:val="96"/>
        </w:rPr>
        <w:t xml:space="preserve"> </w:t>
      </w:r>
      <w:r>
        <w:rPr>
          <w:w w:val="95"/>
        </w:rPr>
        <w:t>2.4 物理化学危险性信息：可能引起燃烧或爆炸；强氧化剂。</w:t>
      </w:r>
    </w:p>
    <w:p>
      <w:pPr>
        <w:pStyle w:val="3"/>
      </w:pPr>
      <w:r>
        <w:rPr>
          <w:w w:val="97"/>
        </w:rPr>
        <w:t xml:space="preserve"> </w:t>
      </w:r>
      <w:r>
        <w:t>2.5 健康危害：吞咽有害。造成严重皮肤灼伤和眼损伤。吸入可能有害。</w:t>
      </w:r>
    </w:p>
    <w:p>
      <w:pPr>
        <w:pStyle w:val="3"/>
        <w:spacing w:before="40"/>
      </w:pPr>
      <w:r>
        <w:rPr>
          <w:w w:val="94"/>
        </w:rPr>
        <w:t xml:space="preserve"> </w:t>
      </w:r>
      <w:r>
        <w:t>2.6 环境危害：对水生生物有害。</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3.成分/组成信息</w:t>
      </w:r>
    </w:p>
    <w:p>
      <w:pPr>
        <w:pStyle w:val="3"/>
        <w:spacing w:before="40"/>
      </w:pPr>
      <w:r>
        <w:rPr>
          <w:w w:val="96"/>
        </w:rPr>
        <w:t xml:space="preserve"> </w:t>
      </w:r>
      <w:r>
        <w:t>组成信息：混合物</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tabs>
          <w:tab w:val="left" w:pos="3626"/>
          <w:tab w:val="right" w:pos="7279"/>
        </w:tabs>
        <w:spacing w:before="81"/>
        <w:ind w:left="140"/>
      </w:pPr>
      <w:r>
        <w:t>主要成分：过氧化氢</w:t>
      </w:r>
      <w:r>
        <w:tab/>
      </w:r>
      <w:r>
        <w:t>7722-84-1</w:t>
      </w:r>
      <w:r>
        <w:tab/>
      </w:r>
      <w:r>
        <w:t>30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tabs>
          <w:tab w:val="left" w:pos="3626"/>
          <w:tab w:val="right" w:pos="7279"/>
        </w:tabs>
        <w:spacing w:before="81"/>
        <w:ind w:left="140"/>
      </w:pPr>
      <w:r>
        <w:t>次要成分：水</w:t>
      </w:r>
      <w:r>
        <w:tab/>
      </w:r>
      <w:r>
        <w:t>7732-18-5</w:t>
      </w:r>
      <w:r>
        <w:tab/>
      </w:r>
      <w:r>
        <w:t>70</w:t>
      </w:r>
    </w:p>
    <w:p>
      <w:pPr>
        <w:spacing w:before="19"/>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spacing w:before="40"/>
      </w:pPr>
      <w:r>
        <w:rPr>
          <w:w w:val="96"/>
        </w:rPr>
        <w:t xml:space="preserve">     </w:t>
      </w:r>
      <w:r>
        <w:t>食入：禁止催吐。切勿给失去知觉者从嘴里喂食任何东西。用水漱口。请教医生。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before="40"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作业人员的防护措施、防护设备和应急处置程序：使用个人防护用品。避免吸入蒸气、烟雾或气体。保证充分的通风。移去所有</w:t>
      </w:r>
      <w:r>
        <w:t>火源。</w:t>
      </w:r>
    </w:p>
    <w:p>
      <w:pPr>
        <w:pStyle w:val="3"/>
        <w:spacing w:before="0"/>
      </w:pPr>
      <w:r>
        <w:rPr>
          <w:w w:val="97"/>
        </w:rPr>
        <w:t xml:space="preserve"> </w:t>
      </w:r>
      <w:r>
        <w:t>6.2 环境保护措施：如能确保安全，可采取措施防止进一步的泄漏或溢出。不要让产品进入下水道。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line="280" w:lineRule="auto"/>
        <w:ind w:right="214"/>
      </w:pPr>
      <w:r>
        <w:rPr>
          <w:w w:val="98"/>
        </w:rPr>
        <w:t xml:space="preserve"> </w:t>
      </w:r>
      <w:r>
        <w:rPr>
          <w:w w:val="95"/>
        </w:rPr>
        <w:t>7.2   安全储存注意事项：贮存在阴凉处。容器保持紧闭，储存在干燥通风处。打开了的容器必须仔细重新封口并保持竖放位置以防止</w:t>
      </w:r>
      <w:r>
        <w:t>泄漏。建议的贮存温度：2-8℃。充气保存处理及打开容器时,必须小心。对光线敏感</w:t>
      </w:r>
    </w:p>
    <w:p>
      <w:pPr>
        <w:pStyle w:val="3"/>
        <w:spacing w:before="0" w:line="220" w:lineRule="exact"/>
      </w:pPr>
      <w:r>
        <w:rPr>
          <w:w w:val="90"/>
        </w:rPr>
        <w:t xml:space="preserve"> </w:t>
      </w:r>
      <w:r>
        <w:t>7.3 不兼容性：锌,粉末状金属,铁,铜,镍,黄铜,铁合铁盐</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96"/>
        </w:rPr>
        <w:t xml:space="preserve"> </w:t>
      </w:r>
      <w:r>
        <w:t>PC-STEL(mg/m3)：3.75*</w:t>
      </w:r>
    </w:p>
    <w:p>
      <w:pPr>
        <w:pStyle w:val="3"/>
      </w:pPr>
      <w:r>
        <w:rPr>
          <w:w w:val="110"/>
        </w:rPr>
        <w:t xml:space="preserve"> TLV-TWA(mg/m3)：1ppm</w:t>
      </w:r>
    </w:p>
    <w:p>
      <w:pPr>
        <w:pStyle w:val="3"/>
      </w:pPr>
      <w:r>
        <w:rPr>
          <w:w w:val="103"/>
        </w:rPr>
        <w:t xml:space="preserve"> </w:t>
      </w:r>
      <w:r>
        <w:rPr>
          <w:w w:val="105"/>
        </w:rPr>
        <w:t>PC-TWA(mg/m3)：1.5</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4"/>
        </w:rPr>
        <w:t xml:space="preserve"> </w:t>
      </w:r>
      <w:r>
        <w:t>8.2 检测方法：四氯化钛分光光度法。</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手防护：戴耐酸碱手套。</w:t>
      </w:r>
    </w:p>
    <w:p>
      <w:pPr>
        <w:pStyle w:val="3"/>
      </w:pPr>
      <w:r>
        <w:rPr>
          <w:w w:val="91"/>
        </w:rPr>
        <w:t xml:space="preserve">     </w:t>
      </w:r>
      <w:r>
        <w:t>眼睛防护：戴防腐蚀液护目镜/面罩。</w:t>
      </w:r>
    </w:p>
    <w:p>
      <w:pPr>
        <w:pStyle w:val="3"/>
        <w:spacing w:before="40"/>
      </w:pPr>
      <w:r>
        <w:rPr>
          <w:w w:val="92"/>
        </w:rPr>
        <w:t xml:space="preserve">     </w:t>
      </w:r>
      <w:r>
        <w:t>皮肤和身体防护：穿防腐蚀液防酸碱服。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line="247" w:lineRule="auto"/>
        <w:ind w:left="140" w:right="1561"/>
      </w:pPr>
      <w:r>
        <w:t>外观与性状：无色透明液体，无气味或有类似臭氧的臭气，对光敏感。</w:t>
      </w:r>
      <w:r>
        <w:tab/>
      </w:r>
      <w:r>
        <w:t>气味：无气味或有类似臭氧的臭</w:t>
      </w:r>
      <w:r>
        <w:rPr>
          <w:spacing w:val="-16"/>
        </w:rPr>
        <w:t>气</w:t>
      </w:r>
      <w:r>
        <w:t>气味阈值：无资料</w:t>
      </w:r>
      <w:r>
        <w:tab/>
      </w:r>
      <w:r>
        <w:t>pH：2-4(H2O,20℃)</w:t>
      </w:r>
    </w:p>
    <w:p>
      <w:pPr>
        <w:pStyle w:val="3"/>
        <w:tabs>
          <w:tab w:val="left" w:pos="6415"/>
        </w:tabs>
        <w:spacing w:before="2"/>
        <w:ind w:left="140"/>
      </w:pPr>
      <w:r>
        <w:rPr>
          <w:w w:val="95"/>
        </w:rPr>
        <w:t>熔点/凝固点(℃)：-33to-26℃</w:t>
      </w:r>
      <w:r>
        <w:rPr>
          <w:w w:val="95"/>
        </w:rPr>
        <w:tab/>
      </w:r>
      <w:r>
        <w:t>沸点、初沸点、沸程(℃)：108℃/760mmHg</w:t>
      </w:r>
    </w:p>
    <w:p>
      <w:pPr>
        <w:pStyle w:val="3"/>
        <w:tabs>
          <w:tab w:val="left" w:pos="6415"/>
        </w:tabs>
        <w:spacing w:before="7"/>
        <w:ind w:left="140"/>
      </w:pPr>
      <w:r>
        <w:rPr>
          <w:w w:val="95"/>
        </w:rPr>
        <w:t>密度/相对密度(水=1)：ρ(20)1.13g/mL</w:t>
      </w:r>
      <w:r>
        <w:rPr>
          <w:w w:val="95"/>
        </w:rPr>
        <w:tab/>
      </w:r>
      <w:r>
        <w:t>蒸汽密度(空气=1)：无资料</w:t>
      </w:r>
    </w:p>
    <w:p>
      <w:pPr>
        <w:pStyle w:val="3"/>
        <w:tabs>
          <w:tab w:val="left" w:pos="6415"/>
        </w:tabs>
        <w:spacing w:before="8"/>
        <w:ind w:left="140"/>
      </w:pPr>
      <w:r>
        <w:rPr>
          <w:w w:val="95"/>
        </w:rPr>
        <w:t>蒸汽压(kPa)：0.67(30℃)</w:t>
      </w:r>
      <w:r>
        <w:rPr>
          <w:w w:val="95"/>
        </w:rP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rPr>
          <w:w w:val="95"/>
        </w:rPr>
        <w:t>辛醇/水分配系数的对数值：-1.36</w:t>
      </w:r>
      <w:r>
        <w:rPr>
          <w:w w:val="95"/>
        </w:rPr>
        <w:tab/>
      </w:r>
      <w:r>
        <w:t>闪点(℃)：224.6℉/107℃</w:t>
      </w:r>
    </w:p>
    <w:p>
      <w:pPr>
        <w:pStyle w:val="3"/>
        <w:tabs>
          <w:tab w:val="left" w:pos="6415"/>
        </w:tabs>
        <w:spacing w:before="7"/>
        <w:ind w:left="140"/>
      </w:pPr>
      <w:r>
        <w:t>自燃温度(℃)：无资料</w:t>
      </w:r>
      <w:r>
        <w:tab/>
      </w:r>
      <w:r>
        <w:t>爆炸上限%（V/V）：无资料</w:t>
      </w:r>
    </w:p>
    <w:p>
      <w:pPr>
        <w:pStyle w:val="3"/>
        <w:tabs>
          <w:tab w:val="left" w:pos="6415"/>
        </w:tabs>
        <w:spacing w:before="8"/>
        <w:ind w:left="140"/>
      </w:pPr>
      <w:r>
        <w:t>溶解性：与水混溶，溶于醇、醚，不溶于苯、石油醚。</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10.稳定性和反应性</w:t>
      </w:r>
    </w:p>
    <w:p>
      <w:pPr>
        <w:pStyle w:val="3"/>
        <w:spacing w:before="40"/>
      </w:pPr>
      <w:r>
        <w:rPr>
          <w:w w:val="90"/>
        </w:rPr>
        <w:t xml:space="preserve"> </w:t>
      </w:r>
      <w:r>
        <w:t>10.1 稳定性：不稳定</w:t>
      </w:r>
    </w:p>
    <w:p>
      <w:pPr>
        <w:spacing w:after="0"/>
        <w:sectPr>
          <w:pgSz w:w="11900" w:h="16840"/>
          <w:pgMar w:top="760" w:right="600" w:bottom="700" w:left="620" w:header="0" w:footer="509" w:gutter="0"/>
          <w:cols w:space="720" w:num="1"/>
        </w:sectPr>
      </w:pPr>
    </w:p>
    <w:p>
      <w:pPr>
        <w:pStyle w:val="3"/>
        <w:spacing w:before="50"/>
      </w:pPr>
      <w:r>
        <w:rPr>
          <w:w w:val="91"/>
        </w:rPr>
        <w:t xml:space="preserve"> </w:t>
      </w:r>
      <w:r>
        <w:t>10.2 危险反应：无资料</w:t>
      </w:r>
    </w:p>
    <w:p>
      <w:pPr>
        <w:pStyle w:val="3"/>
      </w:pPr>
      <w:r>
        <w:rPr>
          <w:w w:val="92"/>
        </w:rPr>
        <w:t xml:space="preserve"> </w:t>
      </w:r>
      <w:r>
        <w:t>10.3 应避免的条件：无资料</w:t>
      </w:r>
    </w:p>
    <w:p>
      <w:pPr>
        <w:pStyle w:val="3"/>
      </w:pPr>
      <w:r>
        <w:rPr>
          <w:w w:val="97"/>
        </w:rPr>
        <w:t xml:space="preserve"> </w:t>
      </w:r>
      <w:r>
        <w:t>10.4 不相容物质：易燃或可燃物、强还原剂、铜、铁、铁盐、锌、活性金属粉末。</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pStyle w:val="3"/>
        <w:spacing w:before="40"/>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spacing w:before="40"/>
      </w:pPr>
      <w:r>
        <w:rPr>
          <w:w w:val="93"/>
        </w:rPr>
        <w:t xml:space="preserve"> </w:t>
      </w:r>
      <w:r>
        <w:rPr>
          <w:w w:val="95"/>
        </w:rPr>
        <w:t>11.5</w:t>
      </w:r>
      <w:r>
        <w:rPr>
          <w:spacing w:val="-7"/>
          <w:w w:val="95"/>
        </w:rPr>
        <w:t xml:space="preserve"> 生殖细胞突变性：无资料</w:t>
      </w:r>
    </w:p>
    <w:p>
      <w:pPr>
        <w:pStyle w:val="3"/>
      </w:pPr>
      <w:r>
        <w:rPr>
          <w:w w:val="98"/>
        </w:rPr>
        <w:t xml:space="preserve"> </w:t>
      </w:r>
      <w:r>
        <w:t>11.6 致癌性：IARC致癌性评论：组3，现有的证据不能对人类致癌性进行分类。</w:t>
      </w:r>
    </w:p>
    <w:p>
      <w:pPr>
        <w:pStyle w:val="3"/>
        <w:spacing w:before="40"/>
      </w:pPr>
      <w:r>
        <w:rPr>
          <w:w w:val="91"/>
        </w:rPr>
        <w:t xml:space="preserve"> </w:t>
      </w:r>
      <w:r>
        <w:t>11.7 生殖毒性：无资料</w:t>
      </w:r>
    </w:p>
    <w:p>
      <w:pPr>
        <w:pStyle w:val="3"/>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pStyle w:val="3"/>
      </w:pPr>
      <w:r>
        <w:rPr>
          <w:w w:val="98"/>
        </w:rPr>
        <w:t xml:space="preserve"> </w:t>
      </w:r>
      <w:r>
        <w:t>吸入：吸入可能有害。该物质对组织、粘膜和上呼吸道破坏力强</w:t>
      </w:r>
    </w:p>
    <w:p>
      <w:pPr>
        <w:pStyle w:val="3"/>
        <w:spacing w:before="40"/>
      </w:pPr>
      <w:r>
        <w:rPr>
          <w:w w:val="98"/>
        </w:rPr>
        <w:t xml:space="preserve"> </w:t>
      </w:r>
      <w:r>
        <w:t>摄入：误吞对人体有害。引致灼伤。</w:t>
      </w:r>
    </w:p>
    <w:p>
      <w:pPr>
        <w:pStyle w:val="3"/>
      </w:pPr>
      <w:r>
        <w:rPr>
          <w:w w:val="98"/>
        </w:rPr>
        <w:t xml:space="preserve"> </w:t>
      </w:r>
      <w:r>
        <w:t>皮肤：如果通过皮肤吸收可能是有害的。引起皮肤烧伤。</w:t>
      </w:r>
    </w:p>
    <w:p>
      <w:pPr>
        <w:pStyle w:val="3"/>
        <w:spacing w:before="40" w:line="220" w:lineRule="exact"/>
      </w:pPr>
      <w:r>
        <w:rPr>
          <w:w w:val="97"/>
        </w:rPr>
        <w:t xml:space="preserve"> </w:t>
      </w:r>
      <w:r>
        <w:t>眼睛：引起眼睛烧伤。</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12.生态学信息</w:t>
      </w:r>
    </w:p>
    <w:p>
      <w:pPr>
        <w:pStyle w:val="3"/>
      </w:pPr>
      <w:r>
        <w:rPr>
          <w:w w:val="91"/>
        </w:rPr>
        <w:t xml:space="preserve"> </w:t>
      </w:r>
      <w:r>
        <w:t>12.1 生态毒性：无资料</w:t>
      </w:r>
    </w:p>
    <w:p>
      <w:pPr>
        <w:pStyle w:val="3"/>
      </w:pPr>
      <w:r>
        <w:rPr>
          <w:w w:val="93"/>
        </w:rPr>
        <w:t xml:space="preserve"> </w:t>
      </w:r>
      <w:r>
        <w:t>12.2 持久性和降解性：无资料</w:t>
      </w:r>
    </w:p>
    <w:p>
      <w:pPr>
        <w:pStyle w:val="3"/>
        <w:spacing w:before="40"/>
      </w:pPr>
      <w:r>
        <w:rPr>
          <w:w w:val="93"/>
        </w:rPr>
        <w:t xml:space="preserve"> </w:t>
      </w:r>
      <w:r>
        <w:t>12.3 潜在的生物累积性：无资料</w:t>
      </w:r>
    </w:p>
    <w:p>
      <w:pPr>
        <w:pStyle w:val="3"/>
      </w:pPr>
      <w:r>
        <w:rPr>
          <w:w w:val="93"/>
        </w:rPr>
        <w:t xml:space="preserve"> </w:t>
      </w:r>
      <w:r>
        <w:t>12.4 土壤中的迁移性：无资料</w:t>
      </w:r>
    </w:p>
    <w:p>
      <w:pPr>
        <w:pStyle w:val="3"/>
        <w:spacing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13.废弃处置</w:t>
      </w:r>
    </w:p>
    <w:p>
      <w:pPr>
        <w:pStyle w:val="3"/>
      </w:pPr>
      <w:r>
        <w:rPr>
          <w:w w:val="96"/>
        </w:rPr>
        <w:t xml:space="preserve"> </w:t>
      </w:r>
      <w:r>
        <w:t>13.1 残余废弃物处置方法：将剩余的和未回收的溶液交给处理公司。</w:t>
      </w:r>
    </w:p>
    <w:p>
      <w:pPr>
        <w:pStyle w:val="3"/>
      </w:pPr>
      <w:r>
        <w:rPr>
          <w:w w:val="95"/>
        </w:rPr>
        <w:t xml:space="preserve"> </w:t>
      </w:r>
      <w:r>
        <w:t>13.2 受污染的容器和包装：按未用产品处置</w:t>
      </w:r>
    </w:p>
    <w:p>
      <w:pPr>
        <w:pStyle w:val="3"/>
        <w:spacing w:before="40"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pPr>
      <w:r>
        <w:rPr>
          <w:w w:val="96"/>
        </w:rPr>
        <w:t xml:space="preserve">  </w:t>
      </w:r>
      <w:r>
        <w:t>危规号CN：51001</w:t>
      </w:r>
    </w:p>
    <w:p>
      <w:pPr>
        <w:pStyle w:val="3"/>
      </w:pPr>
      <w:r>
        <w:rPr>
          <w:w w:val="94"/>
        </w:rPr>
        <w:t xml:space="preserve">  </w:t>
      </w:r>
      <w:r>
        <w:t>联合国危险货物编号：2014</w:t>
      </w:r>
    </w:p>
    <w:p>
      <w:pPr>
        <w:pStyle w:val="3"/>
        <w:spacing w:before="40"/>
      </w:pPr>
      <w:r>
        <w:rPr>
          <w:w w:val="110"/>
        </w:rPr>
        <w:t xml:space="preserve">  联合国运输名称：HYDROGEN PEROXIDE, AQUEOUS SOLUTION</w:t>
      </w:r>
    </w:p>
    <w:p>
      <w:pPr>
        <w:pStyle w:val="3"/>
      </w:pPr>
      <w:r>
        <w:rPr>
          <w:w w:val="92"/>
        </w:rPr>
        <w:t xml:space="preserve">  </w:t>
      </w:r>
      <w:r>
        <w:t>联合国危险性分类：5.1、8</w:t>
      </w:r>
    </w:p>
    <w:p>
      <w:pPr>
        <w:pStyle w:val="3"/>
        <w:spacing w:before="40"/>
      </w:pPr>
      <w:r>
        <w:rPr>
          <w:w w:val="90"/>
        </w:rPr>
        <w:t xml:space="preserve">  </w:t>
      </w:r>
      <w:r>
        <w:t>包装组：Ⅱ</w:t>
      </w:r>
    </w:p>
    <w:p>
      <w:pPr>
        <w:pStyle w:val="3"/>
      </w:pPr>
      <w:r>
        <w:rPr>
          <w:w w:val="93"/>
        </w:rPr>
        <w:t xml:space="preserve">  </w:t>
      </w:r>
      <w:r>
        <w:t>包装方法：无资料</w:t>
      </w:r>
    </w:p>
    <w:p>
      <w:pPr>
        <w:pStyle w:val="3"/>
      </w:pPr>
      <w:r>
        <w:rPr>
          <w:w w:val="93"/>
        </w:rPr>
        <w:t xml:space="preserve">  </w:t>
      </w:r>
      <w:r>
        <w:t>海洋污染物（是/否）：否</w:t>
      </w:r>
    </w:p>
    <w:p>
      <w:pPr>
        <w:pStyle w:val="3"/>
        <w:spacing w:before="40"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pPr>
      <w:r>
        <w:t>下列法律法规和标准，对化学品的安全使用、储存、运输、装卸、分类和标志等方面均作了相应的规定：</w:t>
      </w:r>
    </w:p>
    <w:p>
      <w:pPr>
        <w:pStyle w:val="3"/>
        <w:spacing w:before="40"/>
      </w:pPr>
      <w:r>
        <w:rPr>
          <w:w w:val="88"/>
        </w:rPr>
        <w:t xml:space="preserve">        </w:t>
      </w:r>
      <w:r>
        <w:t>《危险化学品名录》（2015版）：列入</w:t>
      </w:r>
    </w:p>
    <w:p>
      <w:pPr>
        <w:pStyle w:val="3"/>
      </w:pPr>
      <w:r>
        <w:rPr>
          <w:w w:val="89"/>
        </w:rPr>
        <w:t xml:space="preserve">        </w:t>
      </w:r>
      <w:r>
        <w:t>《易制毒化学品名录》（2002版）：未列入</w:t>
      </w:r>
    </w:p>
    <w:p>
      <w:pPr>
        <w:pStyle w:val="3"/>
      </w:pPr>
      <w:r>
        <w:rPr>
          <w:w w:val="89"/>
        </w:rPr>
        <w:t xml:space="preserve">        </w:t>
      </w:r>
      <w:r>
        <w:t>《易制爆危险化学品名录》（2011版）：列入</w:t>
      </w:r>
    </w:p>
    <w:p>
      <w:pPr>
        <w:pStyle w:val="3"/>
        <w:spacing w:before="40"/>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243"/>
      </w:pPr>
      <w:r>
        <w:rPr>
          <w:w w:val="98"/>
        </w:rPr>
        <w:t xml:space="preserve">  </w:t>
      </w:r>
      <w:r>
        <w:rPr>
          <w:spacing w:val="-1"/>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w:t>
      </w:r>
    </w:p>
    <w:p>
      <w:pPr>
        <w:spacing w:after="0" w:line="280" w:lineRule="auto"/>
        <w:sectPr>
          <w:pgSz w:w="11900" w:h="16840"/>
          <w:pgMar w:top="760" w:right="600" w:bottom="700" w:left="620" w:header="0" w:footer="509" w:gutter="0"/>
          <w:cols w:space="720" w:num="1"/>
        </w:sectPr>
      </w:pPr>
    </w:p>
    <w:p>
      <w:pPr>
        <w:pStyle w:val="3"/>
        <w:spacing w:before="50" w:line="280" w:lineRule="auto"/>
        <w:ind w:right="186"/>
      </w:pPr>
      <w:r>
        <w:t>安全预防资料。获取CSDS的使用者，在特殊的使用条件下，必须对本CSDS的适用性作出独立的判断，对特殊的使用场合下，由于使用本SDS所导致的伤害，本公司将不负任何责任。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66AF4E3E"/>
    <w:rsid w:val="16047413"/>
    <w:rsid w:val="66AF4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2023-11-02T09:16:00Z</dcterms:created>
  <dc:creator>刘文丹。</dc:creator>
  <cp:lastModifiedBy>刘文丹。</cp:lastModifiedBy>
  <dcterms:modified xsi:type="dcterms:W3CDTF">2023-11-02T09:16:50Z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48BA7B68A4CA416FA1666664829B5D89_11</vt:lpwstr>
  </property>
</Properties>
</file>