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jc w:val="center"/>
        <w:rPr>
          <w:rFonts w:hint="eastAsia" w:eastAsia="宋体"/>
          <w:sz w:val="21"/>
          <w:szCs w:val="21"/>
          <w:lang w:eastAsia="zh-CN"/>
        </w:rPr>
      </w:pPr>
      <w:bookmarkStart w:id="0" w:name="_GoBack"/>
      <w:r>
        <w:rPr>
          <w:sz w:val="21"/>
          <w:szCs w:val="21"/>
        </w:rPr>
        <w:t>二甲苯，异构体混合物</w:t>
      </w:r>
      <w:r>
        <w:rPr>
          <w:rFonts w:hint="eastAsia"/>
          <w:sz w:val="21"/>
          <w:szCs w:val="21"/>
          <w:lang w:eastAsia="zh-CN"/>
        </w:rPr>
        <w:t>安全说明书</w:t>
      </w:r>
    </w:p>
    <w:bookmarkEnd w:id="0"/>
    <w:p>
      <w:pPr>
        <w:pStyle w:val="3"/>
        <w:spacing w:before="0"/>
      </w:pPr>
      <w:r>
        <w:t>1.化学品及企业标识</w:t>
      </w:r>
    </w:p>
    <w:p>
      <w:pPr>
        <w:pStyle w:val="3"/>
        <w:spacing w:line="280" w:lineRule="auto"/>
        <w:ind w:right="8059"/>
      </w:pPr>
      <w:r>
        <w:t>中文名：二甲苯，异构体混合物英文名：Xylene</w:t>
      </w:r>
    </w:p>
    <w:p>
      <w:pPr>
        <w:pStyle w:val="3"/>
        <w:spacing w:before="1" w:line="280" w:lineRule="auto"/>
        <w:ind w:right="7879"/>
      </w:pPr>
      <w:r>
        <w:t>中文别名：二甲苯，异构体混合物</w:t>
      </w:r>
      <w:r>
        <w:rPr>
          <w:w w:val="90"/>
        </w:rPr>
        <w:t>英文别名：Xylene;Dimethylbenzene</w:t>
      </w:r>
    </w:p>
    <w:p>
      <w:pPr>
        <w:pStyle w:val="3"/>
        <w:spacing w:before="0"/>
      </w:pPr>
      <w:r>
        <w:t>推荐用途：实验室用化验、试验及科学实验。</w:t>
      </w:r>
    </w:p>
    <w:p>
      <w:pPr>
        <w:pStyle w:val="3"/>
        <w:spacing w:before="4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CSDS1330-20-7 二甲苯，异构体混合物</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line="280" w:lineRule="auto"/>
        <w:ind w:right="189"/>
        <w:jc w:val="both"/>
      </w:pPr>
      <w:r>
        <w:rPr>
          <w:w w:val="98"/>
        </w:rPr>
        <w:t xml:space="preserve"> </w:t>
      </w:r>
      <w:r>
        <w:rPr>
          <w:w w:val="95"/>
        </w:rPr>
        <w:t>2.1    紧急情况概述：无色透明液体。易燃液体和蒸气。吞咽可能有害。皮肤接触有害。造成皮肤刺激。造成眼刺激。吸入有害。对水</w:t>
      </w:r>
      <w:r>
        <w:rPr>
          <w:spacing w:val="-1"/>
          <w:w w:val="95"/>
        </w:rPr>
        <w:t xml:space="preserve">生生物有毒。过量接触需采取特殊急救措施和进行医疗随访。用水雾,耐醇泡沫,干粉或二氧化碳灭火。如必要的话,戴自给式呼吸器去    </w:t>
      </w:r>
      <w:r>
        <w:t>救火。</w:t>
      </w:r>
    </w:p>
    <w:p>
      <w:pPr>
        <w:pStyle w:val="3"/>
        <w:spacing w:before="1" w:line="280" w:lineRule="auto"/>
        <w:ind w:right="244"/>
      </w:pPr>
      <w:r>
        <w:rPr>
          <w:w w:val="98"/>
        </w:rPr>
        <w:t xml:space="preserve"> </w:t>
      </w:r>
      <w:r>
        <w:rPr>
          <w:w w:val="95"/>
        </w:rPr>
        <w:t>2.2    GHS危险性分类：易燃液体（类别3）急性毒性（经口）（类别5）急性毒性（吸入）（类别4）急性毒性（经皮）（类别4）皮肤</w:t>
      </w:r>
      <w:r>
        <w:t>刺激（类别2）眼刺激（类别2B）急性水生毒性（类别2）</w:t>
      </w:r>
    </w:p>
    <w:p>
      <w:pPr>
        <w:pStyle w:val="3"/>
        <w:spacing w:before="0"/>
      </w:pPr>
      <w:r>
        <w:rPr>
          <w:w w:val="97"/>
        </w:rPr>
        <w:t xml:space="preserve"> </w:t>
      </w:r>
      <w:r>
        <w:t>2.3 GHS标记要素，包括预防性的陈述：</w:t>
      </w:r>
    </w:p>
    <w:p>
      <w:pPr>
        <w:pStyle w:val="3"/>
      </w:pPr>
      <w:r>
        <w:drawing>
          <wp:anchor distT="0" distB="0" distL="0" distR="0" simplePos="0" relativeHeight="251659264" behindDoc="0" locked="0" layoutInCell="1" allowOverlap="1">
            <wp:simplePos x="0" y="0"/>
            <wp:positionH relativeFrom="page">
              <wp:posOffset>457200</wp:posOffset>
            </wp:positionH>
            <wp:positionV relativeFrom="paragraph">
              <wp:posOffset>189865</wp:posOffset>
            </wp:positionV>
            <wp:extent cx="762000" cy="762000"/>
            <wp:effectExtent l="0" t="0" r="0" b="0"/>
            <wp:wrapTopAndBottom/>
            <wp:docPr id="5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6.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1785620</wp:posOffset>
            </wp:positionH>
            <wp:positionV relativeFrom="paragraph">
              <wp:posOffset>189865</wp:posOffset>
            </wp:positionV>
            <wp:extent cx="762000" cy="762000"/>
            <wp:effectExtent l="0" t="0" r="0" b="0"/>
            <wp:wrapTopAndBottom/>
            <wp:docPr id="53"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5.jpeg"/>
                    <pic:cNvPicPr>
                      <a:picLocks noChangeAspect="1"/>
                    </pic:cNvPicPr>
                  </pic:nvPicPr>
                  <pic:blipFill>
                    <a:blip r:embed="rId7"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9"/>
        </w:rPr>
        <w:t xml:space="preserve"> </w:t>
      </w:r>
      <w:r>
        <w:t>危险信息：易燃液体和蒸气。吞咽可能有害。皮肤接触有害。造成皮肤刺激。造成眼刺激。吸入有害。对水生生物有毒。</w:t>
      </w:r>
    </w:p>
    <w:p>
      <w:pPr>
        <w:pStyle w:val="3"/>
        <w:spacing w:line="280" w:lineRule="auto"/>
        <w:ind w:right="197"/>
      </w:pPr>
      <w:r>
        <w:rPr>
          <w:w w:val="98"/>
        </w:rPr>
        <w:t xml:space="preserve"> </w:t>
      </w:r>
      <w:r>
        <w:rPr>
          <w:w w:val="95"/>
        </w:rPr>
        <w:t>预防措施：远离热源、火花、明火和热表面。禁止吸烟。保持容器密闭。容器和接收设备接地/等势连接。使用防爆的电气/通风/照    明设备。只能使用不产生火花的工具。采取防止静电放电的措施。避免吸入粉尘/烟/气体/烟雾/蒸气/</w:t>
      </w:r>
      <w:r>
        <w:rPr>
          <w:spacing w:val="-2"/>
          <w:w w:val="95"/>
        </w:rPr>
        <w:t xml:space="preserve">喷雾。操作后彻底清洁皮肤。只    </w:t>
      </w:r>
      <w:r>
        <w:t>能在室外或通风良好之处使用。避免释放到环境中。戴防护手套/穿防护服/戴护目镜/戴面罩。</w:t>
      </w:r>
    </w:p>
    <w:p>
      <w:pPr>
        <w:pStyle w:val="3"/>
        <w:spacing w:before="1" w:line="280" w:lineRule="auto"/>
        <w:ind w:right="139"/>
      </w:pPr>
      <w:r>
        <w:rPr>
          <w:w w:val="98"/>
        </w:rPr>
        <w:t xml:space="preserve"> </w:t>
      </w:r>
      <w:r>
        <w:rPr>
          <w:w w:val="95"/>
        </w:rPr>
        <w:t xml:space="preserve">事故响应：如皮肤(或头发)沾染：立即去除/脱掉所有沾染的衣服。用水清洗皮肤/淋浴。如吸入。将患者移至新鲜空气处并保持呼吸   </w:t>
      </w:r>
      <w:r>
        <w:rPr>
          <w:spacing w:val="-1"/>
        </w:rPr>
        <w:t>顺畅的姿势休息。如与眼睛接触。用水缓慢温和地冲洗几分钟。如戴隐形眼镜并可方便地取出。取出隐形眼镜。然后继续冲洗。如感</w:t>
      </w:r>
      <w:r>
        <w:t>觉不适。呼救中毒控制中心或医生。具体措施(见本标签上提供的急救指导)。如发生皮肤刺激：求医/就诊。如仍觉眼睛刺激：求医</w:t>
      </w:r>
    </w:p>
    <w:p>
      <w:pPr>
        <w:pStyle w:val="3"/>
        <w:spacing w:before="0" w:line="280" w:lineRule="auto"/>
        <w:ind w:right="197"/>
      </w:pPr>
      <w:r>
        <w:rPr>
          <w:w w:val="95"/>
        </w:rPr>
        <w:t>/就诊。如仍觉眼睛刺激：求医/</w:t>
      </w:r>
      <w:r>
        <w:rPr>
          <w:spacing w:val="-1"/>
          <w:w w:val="95"/>
        </w:rPr>
        <w:t xml:space="preserve">就诊。脱掉沾染的衣服。清洗后方可重新使用。火灾时：用干的砂子。干的化学品或耐醇性的泡沫来     </w:t>
      </w:r>
      <w:r>
        <w:t>灭火。</w:t>
      </w:r>
    </w:p>
    <w:p>
      <w:pPr>
        <w:pStyle w:val="3"/>
        <w:spacing w:before="1"/>
      </w:pPr>
      <w:r>
        <w:rPr>
          <w:w w:val="98"/>
        </w:rPr>
        <w:t xml:space="preserve"> </w:t>
      </w:r>
      <w:r>
        <w:t>安全存储：存放在通风良好的地方。保持低温。储存温度不超过37℃。</w:t>
      </w:r>
    </w:p>
    <w:p>
      <w:pPr>
        <w:pStyle w:val="3"/>
      </w:pPr>
      <w:r>
        <w:rPr>
          <w:w w:val="96"/>
        </w:rPr>
        <w:t xml:space="preserve"> </w:t>
      </w:r>
      <w:r>
        <w:t>废弃处置：按照地方/区域/国家/国际规章处置内装物/容器。</w:t>
      </w:r>
    </w:p>
    <w:p>
      <w:pPr>
        <w:pStyle w:val="3"/>
        <w:spacing w:before="40"/>
      </w:pPr>
      <w:r>
        <w:rPr>
          <w:w w:val="95"/>
        </w:rPr>
        <w:t xml:space="preserve"> </w:t>
      </w:r>
      <w:r>
        <w:t>2.4 物理化学危险性信息：易燃液体和蒸气。</w:t>
      </w:r>
    </w:p>
    <w:p>
      <w:pPr>
        <w:pStyle w:val="3"/>
      </w:pPr>
      <w:r>
        <w:rPr>
          <w:w w:val="97"/>
        </w:rPr>
        <w:t xml:space="preserve"> </w:t>
      </w:r>
      <w:r>
        <w:t>2.5 健康危害：吞咽可能有害。皮肤接触有害。造成皮肤刺激。造成眼刺激。吸入有害。</w:t>
      </w:r>
    </w:p>
    <w:p>
      <w:pPr>
        <w:pStyle w:val="3"/>
      </w:pPr>
      <w:r>
        <w:rPr>
          <w:w w:val="94"/>
        </w:rPr>
        <w:t xml:space="preserve"> </w:t>
      </w:r>
      <w:r>
        <w:t>2.6 环境危害：对水生生物有毒。</w:t>
      </w:r>
    </w:p>
    <w:p>
      <w:pPr>
        <w:pStyle w:val="3"/>
        <w:spacing w:before="40"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tabs>
          <w:tab w:val="left" w:pos="3626"/>
          <w:tab w:val="left" w:pos="7113"/>
        </w:tabs>
        <w:spacing w:before="0"/>
        <w:ind w:left="140"/>
      </w:pPr>
      <w:r>
        <w:t>主要成分：二甲苯,异构体混合物</w:t>
      </w:r>
      <w:r>
        <w:tab/>
      </w:r>
      <w:r>
        <w:rPr>
          <w:w w:val="95"/>
        </w:rPr>
        <w:t>1330-20-7</w:t>
      </w:r>
      <w:r>
        <w:rPr>
          <w:w w:val="95"/>
        </w:rPr>
        <w:tab/>
      </w:r>
      <w:r>
        <w:t>≤100</w:t>
      </w:r>
    </w:p>
    <w:p>
      <w:pPr>
        <w:tabs>
          <w:tab w:val="left" w:pos="10568"/>
        </w:tabs>
        <w:spacing w:before="19"/>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5"/>
        <w:ind w:left="0"/>
        <w:rPr>
          <w:sz w:val="6"/>
        </w:rPr>
      </w:pPr>
    </w:p>
    <w:p>
      <w:pPr>
        <w:pStyle w:val="3"/>
        <w:spacing w:before="0"/>
        <w:ind w:left="140"/>
      </w:pPr>
      <w:r>
        <w:t>次要成分：</w:t>
      </w:r>
    </w:p>
    <w:p>
      <w:pPr>
        <w:spacing w:before="19"/>
        <w:ind w:left="100" w:right="0" w:firstLine="0"/>
        <w:jc w:val="left"/>
        <w:rPr>
          <w:sz w:val="6"/>
        </w:rPr>
      </w:pPr>
      <w:r>
        <w:rPr>
          <w:w w:val="41"/>
          <w:sz w:val="6"/>
        </w:rPr>
        <w:t xml:space="preserve"> </w:t>
      </w:r>
    </w:p>
    <w:p>
      <w:pPr>
        <w:spacing w:after="0"/>
        <w:jc w:val="left"/>
        <w:rPr>
          <w:sz w:val="6"/>
        </w:rPr>
        <w:sectPr>
          <w:pgSz w:w="11900" w:h="16840"/>
          <w:pgMar w:top="760" w:right="600" w:bottom="700" w:left="620" w:header="0" w:footer="509" w:gutter="0"/>
          <w:cols w:space="720" w:num="1"/>
        </w:sectPr>
      </w:pPr>
    </w:p>
    <w:p>
      <w:pPr>
        <w:pStyle w:val="3"/>
        <w:spacing w:before="5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pPr>
      <w:r>
        <w:rPr>
          <w:w w:val="97"/>
        </w:rPr>
        <w:t xml:space="preserve"> </w:t>
      </w:r>
      <w:r>
        <w:t>4.2 主要症状和影响，急性和迟发效应：据我们所知，此化学，物理和毒性性质尚未经完整的研究。</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before="40"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pStyle w:val="3"/>
        <w:spacing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环境保护措施：在确保安全的前提下，采取措施防止进一步的泄漏或溢出。不要让产物进入下水道。防止排放到周围环境中。</w:t>
      </w:r>
    </w:p>
    <w:p>
      <w:pPr>
        <w:pStyle w:val="3"/>
        <w:spacing w:before="40" w:line="220" w:lineRule="exact"/>
      </w:pPr>
      <w:r>
        <w:rPr>
          <w:w w:val="98"/>
        </w:rPr>
        <w:t xml:space="preserve"> </w:t>
      </w:r>
      <w:r>
        <w:t>6.3 泄露化学品的收容、清除方法及所使用的处置材料：用防电真空清洁器或湿的刷子将溢出物收集起来并放置到容器中去。</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pPr>
      <w:r>
        <w:rPr>
          <w:w w:val="97"/>
        </w:rPr>
        <w:t xml:space="preserve"> </w:t>
      </w:r>
      <w:r>
        <w:t>7.1 安全处置注意事项：避免接触皮肤和眼睛。防止吸入蒸汽和烟雾。</w:t>
      </w:r>
    </w:p>
    <w:p>
      <w:pPr>
        <w:pStyle w:val="3"/>
        <w:spacing w:line="280" w:lineRule="auto"/>
        <w:ind w:right="139"/>
      </w:pPr>
      <w:r>
        <w:rPr>
          <w:w w:val="98"/>
        </w:rPr>
        <w:t xml:space="preserve"> </w:t>
      </w:r>
      <w:r>
        <w:rPr>
          <w:w w:val="95"/>
        </w:rPr>
        <w:t>7.2   安全储存注意事项：储存于阴凉、通风的库房。远离火种、热源。库温不宜超过37℃，保持容器密封。应与氧化剂、酸类分开存</w:t>
      </w:r>
      <w:r>
        <w:t>放，切忌混储。采用防爆型照明、通风设施。禁止使用易产生火花的机械设备和工具。储区应备有泄漏应急处理设备和合适的收容材料。</w:t>
      </w:r>
    </w:p>
    <w:p>
      <w:pPr>
        <w:pStyle w:val="3"/>
        <w:spacing w:before="1" w:line="220" w:lineRule="exact"/>
      </w:pPr>
      <w:r>
        <w:rPr>
          <w:w w:val="91"/>
        </w:rPr>
        <w:t xml:space="preserve"> </w:t>
      </w:r>
      <w:r>
        <w:t>7.3 不兼容性：强氧化剂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pPr>
      <w:r>
        <w:rPr>
          <w:w w:val="93"/>
        </w:rPr>
        <w:t xml:space="preserve"> </w:t>
      </w:r>
      <w:r>
        <w:t>8.1 作业场所职业接触限值：</w:t>
      </w:r>
    </w:p>
    <w:p>
      <w:pPr>
        <w:pStyle w:val="3"/>
        <w:spacing w:before="40"/>
      </w:pPr>
      <w:r>
        <w:rPr>
          <w:w w:val="105"/>
        </w:rPr>
        <w:t xml:space="preserve"> MAC(mg/m3)：无资料</w:t>
      </w:r>
    </w:p>
    <w:p>
      <w:pPr>
        <w:pStyle w:val="3"/>
      </w:pPr>
      <w:r>
        <w:rPr>
          <w:w w:val="98"/>
        </w:rPr>
        <w:t xml:space="preserve"> </w:t>
      </w:r>
      <w:r>
        <w:t>PC-STEL(mg/m3)：100毫克/立方米</w:t>
      </w:r>
    </w:p>
    <w:p>
      <w:pPr>
        <w:pStyle w:val="3"/>
        <w:spacing w:before="40"/>
      </w:pPr>
      <w:r>
        <w:rPr>
          <w:w w:val="106"/>
        </w:rPr>
        <w:t xml:space="preserve"> </w:t>
      </w:r>
      <w:r>
        <w:rPr>
          <w:w w:val="105"/>
        </w:rPr>
        <w:t>TLV-TWA(mg/m3)：无资料</w:t>
      </w:r>
    </w:p>
    <w:p>
      <w:pPr>
        <w:pStyle w:val="3"/>
      </w:pPr>
      <w:r>
        <w:rPr>
          <w:w w:val="102"/>
        </w:rPr>
        <w:t xml:space="preserve"> </w:t>
      </w:r>
      <w:r>
        <w:rPr>
          <w:w w:val="105"/>
        </w:rPr>
        <w:t>PC-TWA(mg/m3)：50毫克/立方米</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pPr>
      <w:r>
        <w:rPr>
          <w:w w:val="97"/>
        </w:rPr>
        <w:t xml:space="preserve"> </w:t>
      </w:r>
      <w:r>
        <w:t>8.3 工程控制：生产过程密闭，加强通风。提供安全淋浴和洗眼设备。</w:t>
      </w:r>
    </w:p>
    <w:p>
      <w:pPr>
        <w:pStyle w:val="3"/>
        <w:spacing w:before="40"/>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90"/>
        </w:rPr>
        <w:t xml:space="preserve">     </w:t>
      </w:r>
      <w:r>
        <w:t>手防护：戴防毒物渗透手套。</w:t>
      </w:r>
    </w:p>
    <w:p>
      <w:pPr>
        <w:pStyle w:val="3"/>
      </w:pPr>
      <w:r>
        <w:rPr>
          <w:w w:val="95"/>
        </w:rPr>
        <w:t xml:space="preserve">     </w:t>
      </w:r>
      <w:r>
        <w:t>眼睛防护：面罩與安全眼鏡请使用经官方标准检测与批准的设备防护眼部。</w:t>
      </w:r>
    </w:p>
    <w:p>
      <w:pPr>
        <w:pStyle w:val="3"/>
      </w:pPr>
      <w:r>
        <w:rPr>
          <w:w w:val="95"/>
        </w:rPr>
        <w:t xml:space="preserve">     </w:t>
      </w:r>
      <w:r>
        <w:t>皮肤和身体防护：穿防毒物渗透工作服。穿防静电阻燃防护服。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spacing w:after="0"/>
        <w:sectPr>
          <w:pgSz w:w="11900" w:h="16840"/>
          <w:pgMar w:top="760" w:right="600" w:bottom="700" w:left="620" w:header="0" w:footer="509" w:gutter="0"/>
          <w:cols w:space="720" w:num="1"/>
        </w:sectPr>
      </w:pPr>
    </w:p>
    <w:p>
      <w:pPr>
        <w:pStyle w:val="3"/>
        <w:spacing w:before="47" w:line="205" w:lineRule="exact"/>
        <w:ind w:left="140"/>
      </w:pPr>
      <w:r>
        <w:t>外观与性状：无色透明液体，对二甲苯、邻二甲苯，间二甲苯及乙苯的混合物</w:t>
      </w:r>
    </w:p>
    <w:p>
      <w:pPr>
        <w:pStyle w:val="3"/>
        <w:spacing w:before="0" w:line="205" w:lineRule="exact"/>
        <w:ind w:left="140"/>
      </w:pPr>
      <w:r>
        <w:t>。</w:t>
      </w:r>
    </w:p>
    <w:p>
      <w:pPr>
        <w:pStyle w:val="3"/>
        <w:spacing w:before="47"/>
        <w:ind w:left="115"/>
      </w:pPr>
      <w:r>
        <w:br w:type="column"/>
      </w:r>
      <w:r>
        <w:t>气味：无资料</w:t>
      </w:r>
    </w:p>
    <w:p>
      <w:pPr>
        <w:spacing w:after="0"/>
        <w:sectPr>
          <w:type w:val="continuous"/>
          <w:pgSz w:w="11900" w:h="16840"/>
          <w:pgMar w:top="1580" w:right="600" w:bottom="1180" w:left="620" w:header="720" w:footer="720" w:gutter="0"/>
          <w:cols w:equalWidth="0" w:num="2">
            <w:col w:w="6261" w:space="40"/>
            <w:col w:w="4379"/>
          </w:cols>
        </w:sectPr>
      </w:pPr>
    </w:p>
    <w:p>
      <w:pPr>
        <w:pStyle w:val="3"/>
        <w:tabs>
          <w:tab w:val="left" w:pos="6415"/>
        </w:tabs>
        <w:spacing w:before="8"/>
        <w:ind w:left="140"/>
      </w:pPr>
      <w:r>
        <w:rPr>
          <w:w w:val="105"/>
        </w:rPr>
        <w:t>气味阈值：无资料</w:t>
      </w:r>
      <w:r>
        <w:rPr>
          <w:w w:val="105"/>
        </w:rPr>
        <w:tab/>
      </w:r>
      <w:r>
        <w:rPr>
          <w:w w:val="105"/>
        </w:rPr>
        <w:t>pH：无资料</w:t>
      </w:r>
    </w:p>
    <w:p>
      <w:pPr>
        <w:pStyle w:val="3"/>
        <w:tabs>
          <w:tab w:val="left" w:pos="6415"/>
        </w:tabs>
        <w:spacing w:before="8"/>
        <w:ind w:left="140"/>
      </w:pPr>
      <w:r>
        <w:rPr>
          <w:w w:val="95"/>
        </w:rPr>
        <w:t>熔点/凝固点(℃)：&gt;-34℃</w:t>
      </w:r>
      <w:r>
        <w:rPr>
          <w:w w:val="95"/>
        </w:rPr>
        <w:tab/>
      </w:r>
      <w:r>
        <w:t>沸点、初沸点、沸程(℃)：137-143℃/760mmHg</w:t>
      </w:r>
    </w:p>
    <w:p>
      <w:pPr>
        <w:pStyle w:val="3"/>
        <w:tabs>
          <w:tab w:val="left" w:pos="6415"/>
        </w:tabs>
        <w:spacing w:before="8"/>
        <w:ind w:left="140"/>
      </w:pPr>
      <w:r>
        <w:rPr>
          <w:w w:val="90"/>
        </w:rPr>
        <w:t>密度/相对密度(水=1)：ρ(20)0.860-0.864g/mL</w:t>
      </w:r>
      <w:r>
        <w:rPr>
          <w:w w:val="90"/>
        </w:rPr>
        <w:tab/>
      </w:r>
      <w:r>
        <w:t>蒸汽密度(空气=1)：3.67-(空气=1。0)</w:t>
      </w:r>
    </w:p>
    <w:p>
      <w:pPr>
        <w:pStyle w:val="3"/>
        <w:tabs>
          <w:tab w:val="left" w:pos="6415"/>
        </w:tabs>
        <w:spacing w:before="8"/>
        <w:ind w:left="140"/>
      </w:pPr>
      <w:r>
        <w:rPr>
          <w:w w:val="95"/>
        </w:rPr>
        <w:t>蒸汽压(kPa)：24hPa在37.70℃</w:t>
      </w:r>
      <w:r>
        <w:rPr>
          <w:w w:val="95"/>
        </w:rPr>
        <w:tab/>
      </w:r>
      <w:r>
        <w:t>燃烧热(kJ/mol)：无资料</w:t>
      </w:r>
    </w:p>
    <w:p>
      <w:pPr>
        <w:pStyle w:val="3"/>
        <w:tabs>
          <w:tab w:val="left" w:pos="6415"/>
        </w:tabs>
        <w:spacing w:before="7"/>
        <w:ind w:left="140"/>
      </w:pPr>
      <w:r>
        <w:t>分解温度：无资料</w:t>
      </w:r>
      <w:r>
        <w:tab/>
      </w:r>
      <w:r>
        <w:t>临界压力：无资料</w:t>
      </w:r>
    </w:p>
    <w:p>
      <w:pPr>
        <w:pStyle w:val="3"/>
        <w:tabs>
          <w:tab w:val="left" w:pos="6415"/>
        </w:tabs>
        <w:spacing w:before="8"/>
        <w:ind w:left="140"/>
      </w:pPr>
      <w:r>
        <w:t>辛醇/水分配系数的对数值：无资料</w:t>
      </w:r>
      <w:r>
        <w:tab/>
      </w:r>
      <w:r>
        <w:t>闪点(℃)：77℉/25℃</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溶解性：溶于乙醇和乙醚，几乎不溶于水。</w:t>
      </w:r>
      <w:r>
        <w:tab/>
      </w:r>
      <w:r>
        <w:t>爆炸下限%（V/V）：无资料</w:t>
      </w:r>
    </w:p>
    <w:p>
      <w:pPr>
        <w:pStyle w:val="3"/>
        <w:tabs>
          <w:tab w:val="left" w:pos="6415"/>
        </w:tabs>
        <w:spacing w:before="7"/>
        <w:ind w:left="140"/>
      </w:pPr>
      <w:r>
        <w:t>易燃性（固体、气体）：无资料</w:t>
      </w:r>
      <w:r>
        <w:tab/>
      </w:r>
      <w:r>
        <w:t>蒸发速率：无资料</w:t>
      </w:r>
    </w:p>
    <w:p>
      <w:pPr>
        <w:pStyle w:val="3"/>
        <w:spacing w:before="170"/>
      </w:pPr>
      <w:r>
        <w:t>10.稳定性和反应性</w:t>
      </w:r>
    </w:p>
    <w:p>
      <w:pPr>
        <w:pStyle w:val="3"/>
      </w:pPr>
      <w:r>
        <w:rPr>
          <w:w w:val="90"/>
        </w:rPr>
        <w:t xml:space="preserve"> </w:t>
      </w:r>
      <w:r>
        <w:t>10.1 稳定性：无资料</w:t>
      </w:r>
    </w:p>
    <w:p>
      <w:pPr>
        <w:pStyle w:val="3"/>
        <w:spacing w:before="40"/>
      </w:pPr>
      <w:r>
        <w:rPr>
          <w:w w:val="91"/>
        </w:rPr>
        <w:t xml:space="preserve"> </w:t>
      </w:r>
      <w:r>
        <w:t>10.2 危险反应：无资料</w:t>
      </w:r>
    </w:p>
    <w:p>
      <w:pPr>
        <w:spacing w:after="0"/>
        <w:sectPr>
          <w:type w:val="continuous"/>
          <w:pgSz w:w="11900" w:h="16840"/>
          <w:pgMar w:top="1580" w:right="600" w:bottom="1180" w:left="620" w:header="720" w:footer="720" w:gutter="0"/>
          <w:cols w:space="720" w:num="1"/>
        </w:sectPr>
      </w:pPr>
    </w:p>
    <w:p>
      <w:pPr>
        <w:pStyle w:val="3"/>
        <w:spacing w:before="50"/>
      </w:pPr>
      <w:r>
        <w:rPr>
          <w:w w:val="93"/>
        </w:rPr>
        <w:t xml:space="preserve"> </w:t>
      </w:r>
      <w:r>
        <w:t>10.3 应避免的条件：热,火焰和火花。</w:t>
      </w:r>
    </w:p>
    <w:p>
      <w:pPr>
        <w:pStyle w:val="3"/>
      </w:pPr>
      <w:r>
        <w:rPr>
          <w:w w:val="93"/>
        </w:rPr>
        <w:t xml:space="preserve"> </w:t>
      </w:r>
      <w:r>
        <w:t>10.4 不相容物质：强氧化物。</w:t>
      </w:r>
    </w:p>
    <w:p>
      <w:pPr>
        <w:pStyle w:val="3"/>
        <w:spacing w:line="220" w:lineRule="exact"/>
      </w:pPr>
      <w:r>
        <w:rPr>
          <w:w w:val="95"/>
        </w:rPr>
        <w:t xml:space="preserve"> </w:t>
      </w:r>
      <w:r>
        <w:t>10.5 危险的分解产物：其它分解产物-无数据资料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1"/>
      </w:pPr>
      <w:r>
        <w:t>11.毒理学信息</w:t>
      </w:r>
    </w:p>
    <w:p>
      <w:pPr>
        <w:pStyle w:val="3"/>
      </w:pPr>
      <w:r>
        <w:rPr>
          <w:w w:val="91"/>
        </w:rPr>
        <w:t xml:space="preserve"> </w:t>
      </w:r>
      <w:r>
        <w:t>11.1 急性毒性：无资料</w:t>
      </w:r>
    </w:p>
    <w:p>
      <w:pPr>
        <w:pStyle w:val="3"/>
      </w:pPr>
      <w:r>
        <w:rPr>
          <w:w w:val="93"/>
        </w:rPr>
        <w:t xml:space="preserve"> </w:t>
      </w:r>
      <w:r>
        <w:rPr>
          <w:w w:val="95"/>
        </w:rPr>
        <w:t>11.2</w:t>
      </w:r>
      <w:r>
        <w:rPr>
          <w:spacing w:val="-7"/>
          <w:w w:val="95"/>
        </w:rPr>
        <w:t xml:space="preserve"> 皮肤刺激或腐蚀：无资料</w:t>
      </w:r>
    </w:p>
    <w:p>
      <w:pPr>
        <w:pStyle w:val="3"/>
        <w:spacing w:before="40"/>
      </w:pPr>
      <w:r>
        <w:rPr>
          <w:w w:val="93"/>
        </w:rPr>
        <w:t xml:space="preserve"> </w:t>
      </w:r>
      <w:r>
        <w:rPr>
          <w:w w:val="95"/>
        </w:rPr>
        <w:t>11.3</w:t>
      </w:r>
      <w:r>
        <w:rPr>
          <w:spacing w:val="-7"/>
          <w:w w:val="95"/>
        </w:rPr>
        <w:t xml:space="preserve"> 眼睛刺激和腐蚀：无资料</w:t>
      </w:r>
    </w:p>
    <w:p>
      <w:pPr>
        <w:pStyle w:val="3"/>
      </w:pPr>
      <w:r>
        <w:rPr>
          <w:w w:val="93"/>
        </w:rPr>
        <w:t xml:space="preserve"> </w:t>
      </w:r>
      <w:r>
        <w:rPr>
          <w:w w:val="95"/>
        </w:rPr>
        <w:t>11.4</w:t>
      </w:r>
      <w:r>
        <w:rPr>
          <w:spacing w:val="-7"/>
          <w:w w:val="95"/>
        </w:rPr>
        <w:t xml:space="preserve"> 呼吸或皮肤过敏：无资料</w:t>
      </w:r>
    </w:p>
    <w:p>
      <w:pPr>
        <w:pStyle w:val="3"/>
      </w:pPr>
      <w:r>
        <w:rPr>
          <w:w w:val="93"/>
        </w:rPr>
        <w:t xml:space="preserve"> </w:t>
      </w:r>
      <w:r>
        <w:rPr>
          <w:w w:val="95"/>
        </w:rPr>
        <w:t>11.5</w:t>
      </w:r>
      <w:r>
        <w:rPr>
          <w:spacing w:val="-7"/>
          <w:w w:val="95"/>
        </w:rPr>
        <w:t xml:space="preserve"> 生殖细胞突变性：无资料</w:t>
      </w:r>
    </w:p>
    <w:p>
      <w:pPr>
        <w:pStyle w:val="3"/>
        <w:spacing w:before="40"/>
      </w:pPr>
      <w:r>
        <w:rPr>
          <w:w w:val="90"/>
        </w:rPr>
        <w:t xml:space="preserve"> </w:t>
      </w:r>
      <w:r>
        <w:t>11.6 致癌性：无资料</w:t>
      </w:r>
    </w:p>
    <w:p>
      <w:pPr>
        <w:pStyle w:val="3"/>
      </w:pPr>
      <w:r>
        <w:rPr>
          <w:w w:val="91"/>
        </w:rPr>
        <w:t xml:space="preserve"> </w:t>
      </w:r>
      <w:r>
        <w:t>11.7 生殖毒性：无资料</w:t>
      </w:r>
    </w:p>
    <w:p>
      <w:pPr>
        <w:pStyle w:val="3"/>
        <w:spacing w:before="40"/>
      </w:pPr>
      <w:r>
        <w:rPr>
          <w:w w:val="95"/>
        </w:rPr>
        <w:t xml:space="preserve"> 11.8 特异性靶器官系统毒性（一次接触）：无资料</w:t>
      </w:r>
    </w:p>
    <w:p>
      <w:pPr>
        <w:pStyle w:val="3"/>
      </w:pPr>
      <w:r>
        <w:rPr>
          <w:w w:val="95"/>
        </w:rPr>
        <w:t xml:space="preserve"> 11.9 特异性靶器官系统毒性（反复接触）：无资料</w:t>
      </w:r>
    </w:p>
    <w:p>
      <w:pPr>
        <w:pStyle w:val="3"/>
      </w:pPr>
      <w:r>
        <w:rPr>
          <w:w w:val="91"/>
        </w:rPr>
        <w:t xml:space="preserve"> </w:t>
      </w:r>
      <w:r>
        <w:rPr>
          <w:w w:val="90"/>
        </w:rPr>
        <w:t>11.10 吸入危险：无资料</w:t>
      </w:r>
    </w:p>
    <w:p>
      <w:pPr>
        <w:pStyle w:val="3"/>
        <w:spacing w:before="40"/>
      </w:pPr>
      <w:r>
        <w:rPr>
          <w:w w:val="91"/>
        </w:rPr>
        <w:t xml:space="preserve"> </w:t>
      </w:r>
      <w:r>
        <w:rPr>
          <w:w w:val="90"/>
        </w:rPr>
        <w:t>11.11 潜在的健康危险：</w:t>
      </w:r>
    </w:p>
    <w:p>
      <w:pPr>
        <w:pStyle w:val="3"/>
      </w:pPr>
      <w:r>
        <w:rPr>
          <w:w w:val="98"/>
        </w:rPr>
        <w:t xml:space="preserve"> </w:t>
      </w:r>
      <w:r>
        <w:t>吸入：吸入有害。引起呼吸道刺激。</w:t>
      </w:r>
    </w:p>
    <w:p>
      <w:pPr>
        <w:pStyle w:val="3"/>
      </w:pPr>
      <w:r>
        <w:rPr>
          <w:w w:val="97"/>
        </w:rPr>
        <w:t xml:space="preserve"> </w:t>
      </w:r>
      <w:r>
        <w:t>摄入：如服入是有害的。</w:t>
      </w:r>
    </w:p>
    <w:p>
      <w:pPr>
        <w:pStyle w:val="3"/>
        <w:spacing w:before="40"/>
      </w:pPr>
      <w:r>
        <w:rPr>
          <w:w w:val="98"/>
        </w:rPr>
        <w:t xml:space="preserve"> </w:t>
      </w:r>
      <w:r>
        <w:t>皮肤：如果通过皮肤被吸收是有害的。造成皮肤刺激。</w:t>
      </w:r>
    </w:p>
    <w:p>
      <w:pPr>
        <w:pStyle w:val="3"/>
        <w:spacing w:line="220" w:lineRule="exact"/>
      </w:pPr>
      <w:r>
        <w:rPr>
          <w:w w:val="97"/>
        </w:rPr>
        <w:t xml:space="preserve"> </w:t>
      </w:r>
      <w:r>
        <w:t>眼睛：引起眼睛烧伤。</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12.生态学信息</w:t>
      </w:r>
    </w:p>
    <w:p>
      <w:pPr>
        <w:pStyle w:val="3"/>
        <w:spacing w:before="40"/>
      </w:pPr>
      <w:r>
        <w:rPr>
          <w:w w:val="91"/>
        </w:rPr>
        <w:t xml:space="preserve"> </w:t>
      </w:r>
      <w:r>
        <w:t>12.1 生态毒性：无资料</w:t>
      </w:r>
    </w:p>
    <w:p>
      <w:pPr>
        <w:pStyle w:val="3"/>
      </w:pPr>
      <w:r>
        <w:rPr>
          <w:w w:val="93"/>
        </w:rPr>
        <w:t xml:space="preserve"> </w:t>
      </w:r>
      <w:r>
        <w:t>12.2 持久性和降解性：无资料</w:t>
      </w:r>
    </w:p>
    <w:p>
      <w:pPr>
        <w:pStyle w:val="3"/>
      </w:pPr>
      <w:r>
        <w:rPr>
          <w:w w:val="93"/>
        </w:rPr>
        <w:t xml:space="preserve"> </w:t>
      </w:r>
      <w:r>
        <w:t>12.3 潜在的生物累积性：无资料</w:t>
      </w:r>
    </w:p>
    <w:p>
      <w:pPr>
        <w:pStyle w:val="3"/>
        <w:spacing w:before="40"/>
      </w:pPr>
      <w:r>
        <w:rPr>
          <w:w w:val="93"/>
        </w:rPr>
        <w:t xml:space="preserve"> </w:t>
      </w:r>
      <w:r>
        <w:t>12.4 土壤中的迁移性：无资料</w:t>
      </w:r>
    </w:p>
    <w:p>
      <w:pPr>
        <w:pStyle w:val="3"/>
        <w:spacing w:line="220" w:lineRule="exact"/>
      </w:pPr>
      <w:r>
        <w:rPr>
          <w:w w:val="94"/>
        </w:rPr>
        <w:t xml:space="preserve"> </w:t>
      </w:r>
      <w:r>
        <w:t>12.5 其它不良影响：对水生生物有毒。</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13.废弃处置</w:t>
      </w:r>
    </w:p>
    <w:p>
      <w:pPr>
        <w:pStyle w:val="3"/>
        <w:spacing w:before="40" w:line="280" w:lineRule="auto"/>
        <w:ind w:right="184"/>
      </w:pPr>
      <w:r>
        <w:rPr>
          <w:w w:val="97"/>
        </w:rPr>
        <w:t xml:space="preserve"> </w:t>
      </w:r>
      <w:r>
        <w:rPr>
          <w:w w:val="95"/>
        </w:rPr>
        <w:t>13.1  残余废弃物处置方法：在装备有加力燃烧室和洗刷设备的化学焚烧炉内燃烧处理,特别在点燃的时候要注意,因为此物质是高度易</w:t>
      </w:r>
      <w:r>
        <w:t>燃性物质将剩余的和未回收的溶液交给处理公司。</w:t>
      </w:r>
    </w:p>
    <w:p>
      <w:pPr>
        <w:pStyle w:val="3"/>
        <w:spacing w:before="0"/>
      </w:pPr>
      <w:r>
        <w:rPr>
          <w:w w:val="95"/>
        </w:rPr>
        <w:t xml:space="preserve"> </w:t>
      </w:r>
      <w:r>
        <w:t>13.2 受污染的容器和包装：按未用产品处置</w:t>
      </w:r>
    </w:p>
    <w:p>
      <w:pPr>
        <w:pStyle w:val="3"/>
        <w:spacing w:line="220" w:lineRule="exact"/>
      </w:pPr>
      <w:r>
        <w:rPr>
          <w:w w:val="96"/>
        </w:rPr>
        <w:t xml:space="preserve"> </w:t>
      </w:r>
      <w:r>
        <w:t>13.3 废弃处置注意事项：处置前参照国家和地方有关法律法规</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14.运输信息</w:t>
      </w:r>
    </w:p>
    <w:p>
      <w:pPr>
        <w:pStyle w:val="3"/>
        <w:spacing w:before="40"/>
      </w:pPr>
      <w:r>
        <w:rPr>
          <w:w w:val="96"/>
        </w:rPr>
        <w:t xml:space="preserve">  </w:t>
      </w:r>
      <w:r>
        <w:t>危规号CN：33535</w:t>
      </w:r>
    </w:p>
    <w:p>
      <w:pPr>
        <w:pStyle w:val="3"/>
      </w:pPr>
      <w:r>
        <w:rPr>
          <w:w w:val="94"/>
        </w:rPr>
        <w:t xml:space="preserve">  </w:t>
      </w:r>
      <w:r>
        <w:t>联合国危险货物编号：1307</w:t>
      </w:r>
    </w:p>
    <w:p>
      <w:pPr>
        <w:pStyle w:val="3"/>
      </w:pPr>
      <w:r>
        <w:rPr>
          <w:w w:val="91"/>
        </w:rPr>
        <w:t xml:space="preserve">  </w:t>
      </w:r>
      <w:r>
        <w:t>联合国运输名称：Xylenes</w:t>
      </w:r>
    </w:p>
    <w:p>
      <w:pPr>
        <w:pStyle w:val="3"/>
        <w:spacing w:before="40"/>
      </w:pPr>
      <w:r>
        <w:rPr>
          <w:w w:val="94"/>
        </w:rPr>
        <w:t xml:space="preserve">  </w:t>
      </w:r>
      <w:r>
        <w:t>联合国危险性分类：3</w:t>
      </w:r>
    </w:p>
    <w:p>
      <w:pPr>
        <w:pStyle w:val="3"/>
      </w:pPr>
      <w:r>
        <w:rPr>
          <w:w w:val="90"/>
        </w:rPr>
        <w:t xml:space="preserve">  </w:t>
      </w:r>
      <w:r>
        <w:t>包装组：Ⅲ</w:t>
      </w:r>
    </w:p>
    <w:p>
      <w:pPr>
        <w:pStyle w:val="3"/>
        <w:spacing w:before="40"/>
      </w:pPr>
      <w:r>
        <w:rPr>
          <w:w w:val="93"/>
        </w:rPr>
        <w:t xml:space="preserve">  </w:t>
      </w:r>
      <w:r>
        <w:t>包装方法：无资料</w:t>
      </w:r>
    </w:p>
    <w:p>
      <w:pPr>
        <w:pStyle w:val="3"/>
      </w:pPr>
      <w:r>
        <w:rPr>
          <w:w w:val="94"/>
        </w:rPr>
        <w:t xml:space="preserve">  </w:t>
      </w:r>
      <w:r>
        <w:t>海洋污染物（是/否）：无资料</w:t>
      </w:r>
    </w:p>
    <w:p>
      <w:pPr>
        <w:pStyle w:val="3"/>
        <w:spacing w:line="220" w:lineRule="exact"/>
      </w:pPr>
      <w:r>
        <w:rPr>
          <w:w w:val="94"/>
        </w:rPr>
        <w:t xml:space="preserve">  </w:t>
      </w:r>
      <w:r>
        <w:t>运输注意事项：无资料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15.法规信息</w:t>
      </w:r>
    </w:p>
    <w:p>
      <w:pPr>
        <w:pStyle w:val="3"/>
        <w:spacing w:before="40"/>
      </w:pPr>
      <w:r>
        <w:t>下列法律法规和标准，对化学品的安全使用、储存、运输、装卸、分类和标志等方面均作了相应的规定：</w:t>
      </w:r>
    </w:p>
    <w:p>
      <w:pPr>
        <w:pStyle w:val="3"/>
      </w:pPr>
      <w:r>
        <w:rPr>
          <w:w w:val="88"/>
        </w:rPr>
        <w:t xml:space="preserve">        </w:t>
      </w:r>
      <w:r>
        <w:t>《危险化学品名录》（2015版）：列入</w:t>
      </w:r>
    </w:p>
    <w:p>
      <w:pPr>
        <w:pStyle w:val="3"/>
      </w:pPr>
      <w:r>
        <w:rPr>
          <w:w w:val="89"/>
        </w:rPr>
        <w:t xml:space="preserve">        </w:t>
      </w:r>
      <w:r>
        <w:t>《易制毒化学品名录》（2002版）：未列入</w:t>
      </w:r>
    </w:p>
    <w:p>
      <w:pPr>
        <w:pStyle w:val="3"/>
        <w:spacing w:before="40"/>
      </w:pPr>
      <w:r>
        <w:rPr>
          <w:w w:val="90"/>
        </w:rPr>
        <w:t xml:space="preserve">        </w:t>
      </w:r>
      <w:r>
        <w:t>《易制爆危险化学品名录》（2011版）：未列入</w:t>
      </w:r>
    </w:p>
    <w:p>
      <w:pPr>
        <w:pStyle w:val="3"/>
      </w:pPr>
      <w:r>
        <w:rPr>
          <w:w w:val="92"/>
        </w:rPr>
        <w:t xml:space="preserve">        </w:t>
      </w:r>
      <w:r>
        <w:t>化学品分类、警示标签和警示性说明规范系列标准（GB 20576～GB 20602）</w:t>
      </w:r>
    </w:p>
    <w:p>
      <w:pPr>
        <w:pStyle w:val="3"/>
        <w:spacing w:before="40" w:line="220" w:lineRule="exact"/>
      </w:pPr>
      <w:r>
        <w:t>若适用，该化学品满足《危险化学品安全管理条例》(2011年2月16日国务院第591号令颁布)的要求。</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16.其他信息</w:t>
      </w:r>
    </w:p>
    <w:p>
      <w:pPr>
        <w:pStyle w:val="3"/>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1"/>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line="280" w:lineRule="auto"/>
        <w:ind w:right="243"/>
      </w:pPr>
      <w:r>
        <w:rPr>
          <w:w w:val="98"/>
        </w:rPr>
        <w:t xml:space="preserve">  </w:t>
      </w:r>
      <w:r>
        <w:rPr>
          <w:spacing w:val="-1"/>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w:t>
      </w:r>
    </w:p>
    <w:p>
      <w:pPr>
        <w:spacing w:after="0" w:line="280" w:lineRule="auto"/>
        <w:sectPr>
          <w:pgSz w:w="11900" w:h="16840"/>
          <w:pgMar w:top="760" w:right="600" w:bottom="700" w:left="620" w:header="0" w:footer="509" w:gutter="0"/>
          <w:cols w:space="720" w:num="1"/>
        </w:sectPr>
      </w:pPr>
    </w:p>
    <w:p>
      <w:pPr>
        <w:pStyle w:val="3"/>
        <w:spacing w:before="50" w:line="280" w:lineRule="auto"/>
        <w:ind w:right="186"/>
      </w:pPr>
      <w:r>
        <w:t>安全预防资料。获取CSDS的使用者，在特殊的使用条件下，必须对本CSDS的适用性作出独立的判断，对特殊的使用场合下，由于使用本SDS所导致的伤害，本公司将不负任何责任。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4A7F571F"/>
    <w:rsid w:val="16047413"/>
    <w:rsid w:val="4A7F5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semiHidden/>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2023-11-02T09:31:00Z</dcterms:created>
  <dc:creator>刘文丹。</dc:creator>
  <cp:lastModifiedBy>刘文丹。</cp:lastModifiedBy>
  <dcterms:modified xsi:type="dcterms:W3CDTF">2023-11-02T09:31:47Z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3DA39E5C3AE145F1A5FF8DABA8D7A31F_11</vt:lpwstr>
  </property>
</Properties>
</file>