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pPr>
      <w:bookmarkStart w:id="0" w:name="_GoBack"/>
      <w:r>
        <w:t>二甲亚砜</w:t>
      </w:r>
      <w:r>
        <w:rPr>
          <w:rFonts w:hint="eastAsia"/>
          <w:lang w:eastAsia="zh-CN"/>
        </w:rPr>
        <w:t>安全说明书</w:t>
      </w:r>
    </w:p>
    <w:bookmarkEnd w:id="0"/>
    <w:p>
      <w:pPr>
        <w:pStyle w:val="3"/>
        <w:spacing w:before="0" w:line="280" w:lineRule="auto"/>
        <w:ind w:right="9013"/>
      </w:pPr>
      <w:r>
        <w:rPr>
          <w:w w:val="95"/>
        </w:rPr>
        <w:t>1.化学品及企业标识</w:t>
      </w:r>
      <w:r>
        <w:t>中文名：二甲亚砜</w:t>
      </w:r>
    </w:p>
    <w:p>
      <w:pPr>
        <w:pStyle w:val="3"/>
        <w:spacing w:before="0"/>
      </w:pPr>
      <w:r>
        <w:t>英文名：Dimethyl sulfoxide</w:t>
      </w:r>
    </w:p>
    <w:p>
      <w:pPr>
        <w:pStyle w:val="3"/>
        <w:spacing w:before="40" w:line="280" w:lineRule="auto"/>
        <w:ind w:right="6461"/>
      </w:pPr>
      <w:r>
        <w:t>中文别名：二甲亚砜；二甲基亚砜；甲基砜</w:t>
      </w:r>
      <w:r>
        <w:rPr>
          <w:spacing w:val="-4"/>
        </w:rPr>
        <w:t xml:space="preserve">；DMSO </w:t>
      </w:r>
      <w:r>
        <w:rPr>
          <w:w w:val="95"/>
        </w:rPr>
        <w:t>英文别名：Dimethyl</w:t>
      </w:r>
      <w:r>
        <w:rPr>
          <w:spacing w:val="-45"/>
          <w:w w:val="95"/>
        </w:rPr>
        <w:t xml:space="preserve"> </w:t>
      </w:r>
      <w:r>
        <w:rPr>
          <w:w w:val="95"/>
        </w:rPr>
        <w:t>sulfoxide;Methyl</w:t>
      </w:r>
      <w:r>
        <w:rPr>
          <w:spacing w:val="-45"/>
          <w:w w:val="95"/>
        </w:rPr>
        <w:t xml:space="preserve"> </w:t>
      </w:r>
      <w:r>
        <w:rPr>
          <w:w w:val="95"/>
        </w:rPr>
        <w:t>sulfoxide</w:t>
      </w:r>
    </w:p>
    <w:p>
      <w:pPr>
        <w:pStyle w:val="3"/>
        <w:spacing w:before="0"/>
      </w:pPr>
      <w:r>
        <w:t>推荐用途：实验室用化验、试验及科学实验。</w:t>
      </w:r>
    </w:p>
    <w:p>
      <w:pPr>
        <w:pStyle w:val="3"/>
        <w:spacing w:before="40"/>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spacing w:before="40"/>
      </w:pPr>
      <w:r>
        <w:t>传真：86-021-63214037</w:t>
      </w:r>
    </w:p>
    <w:p>
      <w:pPr>
        <w:pStyle w:val="3"/>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1" w:line="220" w:lineRule="exact"/>
      </w:pPr>
      <w:r>
        <w:t>安全技术说明书编码：SCRC CSDS67-68-5 二甲亚砜</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pPr>
      <w:r>
        <w:rPr>
          <w:w w:val="96"/>
        </w:rPr>
        <w:t xml:space="preserve"> </w:t>
      </w:r>
      <w:r>
        <w:rPr>
          <w:w w:val="95"/>
        </w:rPr>
        <w:t>2.1 紧急情况概述：性状:液体。,澄清颜色:无色可燃液体。造成眼刺激。过量接触需采取特殊急救措施和进行医疗随访。小(起始)火时</w:t>
      </w:r>
    </w:p>
    <w:p>
      <w:pPr>
        <w:pStyle w:val="3"/>
        <w:spacing w:before="40" w:line="280" w:lineRule="auto"/>
        <w:ind w:right="183"/>
      </w:pPr>
      <w:r>
        <w:rPr>
          <w:spacing w:val="-1"/>
          <w:w w:val="95"/>
        </w:rPr>
        <w:t xml:space="preserve">，使用媒介物如“乙醇”泡沫、干化学品或二氧化碳。大火时，尽可能使用水灭火。使用大量(洪水般的)水以喷雾状应用；水柱可能     </w:t>
      </w:r>
      <w:r>
        <w:t>是无效的。用大量水降温所有受影响的容器。如必要的话,戴自给式呼吸器去救火。</w:t>
      </w:r>
    </w:p>
    <w:p>
      <w:pPr>
        <w:pStyle w:val="3"/>
        <w:spacing w:before="0"/>
      </w:pPr>
      <w:r>
        <w:rPr>
          <w:w w:val="98"/>
        </w:rPr>
        <w:t xml:space="preserve"> </w:t>
      </w:r>
      <w:r>
        <w:t>2.2 GHS危险性分类：易燃液体（类别4）眼刺激（类别2B）</w:t>
      </w:r>
    </w:p>
    <w:p>
      <w:pPr>
        <w:pStyle w:val="3"/>
      </w:pPr>
      <w:r>
        <w:rPr>
          <w:w w:val="97"/>
        </w:rPr>
        <w:t xml:space="preserve"> </w:t>
      </w:r>
      <w:r>
        <w:t>2.3 GHS标记要素，包括预防性的陈述：</w:t>
      </w:r>
    </w:p>
    <w:p>
      <w:pPr>
        <w:pStyle w:val="3"/>
        <w:spacing w:before="40"/>
      </w:pPr>
      <w:r>
        <w:rPr>
          <w:w w:val="95"/>
        </w:rPr>
        <w:t xml:space="preserve"> </w:t>
      </w:r>
      <w:r>
        <w:t>警示词：警告</w:t>
      </w:r>
    </w:p>
    <w:p>
      <w:pPr>
        <w:pStyle w:val="3"/>
      </w:pPr>
      <w:r>
        <w:rPr>
          <w:w w:val="98"/>
        </w:rPr>
        <w:t xml:space="preserve"> </w:t>
      </w:r>
      <w:r>
        <w:t>危险信息：可燃液体。造成眼刺激。</w:t>
      </w:r>
    </w:p>
    <w:p>
      <w:pPr>
        <w:pStyle w:val="3"/>
      </w:pPr>
      <w:r>
        <w:rPr>
          <w:w w:val="98"/>
        </w:rPr>
        <w:t xml:space="preserve"> </w:t>
      </w:r>
      <w:r>
        <w:t>预防措施：远离热源、火花、明火和热表面。-禁止吸烟。操作后彻底清洁皮肤。戴防护手套/穿防护服/戴护目镜/戴面罩。</w:t>
      </w:r>
    </w:p>
    <w:p>
      <w:pPr>
        <w:pStyle w:val="3"/>
        <w:spacing w:before="40" w:line="280" w:lineRule="auto"/>
        <w:ind w:right="280"/>
      </w:pPr>
      <w:r>
        <w:rPr>
          <w:w w:val="99"/>
        </w:rPr>
        <w:t xml:space="preserve"> </w:t>
      </w:r>
      <w:r>
        <w:rPr>
          <w:spacing w:val="-1"/>
          <w:w w:val="95"/>
        </w:rPr>
        <w:t xml:space="preserve">事故响应：如与眼睛接触，用水缓慢温和地冲洗几分钟。如戴隐形眼镜并可方便地取出，取出隐形眼镜，然后继续冲洗。如仍觉眼     </w:t>
      </w:r>
      <w:r>
        <w:t>睛刺激：求医/就诊。如仍觉眼睛刺激：求医/就诊。火灾时：用干的砂子，干的化学品或耐醇性的泡沫来灭火。</w:t>
      </w:r>
    </w:p>
    <w:p>
      <w:pPr>
        <w:pStyle w:val="3"/>
        <w:spacing w:before="0"/>
      </w:pPr>
      <w:r>
        <w:rPr>
          <w:w w:val="98"/>
        </w:rPr>
        <w:t xml:space="preserve"> </w:t>
      </w:r>
      <w:r>
        <w:t>安全存储：存放在通风良好的地方。保持低温。</w:t>
      </w:r>
    </w:p>
    <w:p>
      <w:pPr>
        <w:pStyle w:val="3"/>
      </w:pPr>
      <w:r>
        <w:rPr>
          <w:w w:val="96"/>
        </w:rPr>
        <w:t xml:space="preserve"> </w:t>
      </w:r>
      <w:r>
        <w:t>废弃处置：按照地方/区域/国家/国际规章处置内装物/容器。</w:t>
      </w:r>
    </w:p>
    <w:p>
      <w:pPr>
        <w:pStyle w:val="3"/>
        <w:spacing w:before="40"/>
      </w:pPr>
      <w:r>
        <w:rPr>
          <w:w w:val="94"/>
        </w:rPr>
        <w:t xml:space="preserve"> </w:t>
      </w:r>
      <w:r>
        <w:t>2.4 物理化学危险性信息：可燃液体。</w:t>
      </w:r>
    </w:p>
    <w:p>
      <w:pPr>
        <w:pStyle w:val="3"/>
      </w:pPr>
      <w:r>
        <w:rPr>
          <w:w w:val="93"/>
        </w:rPr>
        <w:t xml:space="preserve"> </w:t>
      </w:r>
      <w:r>
        <w:t>2.5 健康危害：造成眼刺激。</w:t>
      </w:r>
    </w:p>
    <w:p>
      <w:pPr>
        <w:pStyle w:val="3"/>
        <w:spacing w:before="40"/>
      </w:pPr>
      <w:r>
        <w:rPr>
          <w:w w:val="91"/>
        </w:rPr>
        <w:t xml:space="preserve"> </w:t>
      </w:r>
      <w:r>
        <w:t>2.6 环境危害：不适用</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0"/>
        <w:ind w:left="140"/>
      </w:pPr>
      <w:r>
        <w:t>主要成分：二甲亚砜</w:t>
      </w:r>
      <w:r>
        <w:tab/>
      </w:r>
      <w:r>
        <w:rPr>
          <w:w w:val="95"/>
        </w:rPr>
        <w:t>67-68-5</w:t>
      </w:r>
      <w:r>
        <w:rPr>
          <w:w w:val="95"/>
        </w:rPr>
        <w:tab/>
      </w:r>
      <w:r>
        <w:t>≤100</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0"/>
        <w:ind w:left="140"/>
      </w:pPr>
      <w:r>
        <w:t>次要成分：</w:t>
      </w:r>
    </w:p>
    <w:p>
      <w:pPr>
        <w:spacing w:before="20"/>
        <w:ind w:left="100" w:right="0" w:firstLine="0"/>
        <w:jc w:val="left"/>
        <w:rPr>
          <w:sz w:val="6"/>
        </w:rPr>
      </w:pPr>
      <w:r>
        <w:rPr>
          <w:w w:val="41"/>
          <w:sz w:val="6"/>
        </w:rPr>
        <w:t xml:space="preserve"> </w:t>
      </w:r>
    </w:p>
    <w:p>
      <w:pPr>
        <w:pStyle w:val="3"/>
        <w:spacing w:before="8"/>
        <w:ind w:left="0"/>
        <w:rPr>
          <w:sz w:val="5"/>
        </w:rPr>
      </w:pPr>
    </w:p>
    <w:p>
      <w:pPr>
        <w:pStyle w:val="3"/>
        <w:spacing w:before="1"/>
      </w:pPr>
      <w:r>
        <w:t>4.急救措施</w:t>
      </w:r>
    </w:p>
    <w:p>
      <w:pPr>
        <w:pStyle w:val="3"/>
      </w:pPr>
      <w:r>
        <w:rPr>
          <w:w w:val="92"/>
        </w:rPr>
        <w:t xml:space="preserve"> </w:t>
      </w:r>
      <w:r>
        <w:t>4.1 必要的急救措施描述：</w:t>
      </w:r>
    </w:p>
    <w:p>
      <w:pPr>
        <w:pStyle w:val="3"/>
      </w:pPr>
      <w:r>
        <w:rPr>
          <w:w w:val="95"/>
        </w:rPr>
        <w:t xml:space="preserve">     </w:t>
      </w:r>
      <w:r>
        <w:t>吸入：如果吸入,请将患者移到新鲜空气处。如呼吸停止，进行人工呼吸。请教医生。</w:t>
      </w:r>
    </w:p>
    <w:p>
      <w:pPr>
        <w:pStyle w:val="3"/>
        <w:spacing w:before="40"/>
      </w:pPr>
      <w:r>
        <w:rPr>
          <w:w w:val="93"/>
        </w:rPr>
        <w:t xml:space="preserve">     </w:t>
      </w:r>
      <w:r>
        <w:t>皮肤接触：用肥皂和大量的水冲洗。请教医生。</w:t>
      </w:r>
    </w:p>
    <w:p>
      <w:pPr>
        <w:pStyle w:val="3"/>
      </w:pPr>
      <w:r>
        <w:rPr>
          <w:w w:val="92"/>
        </w:rPr>
        <w:t xml:space="preserve">     </w:t>
      </w:r>
      <w:r>
        <w:t>眼睛接触：谨慎起见用水冲洗眼睛。</w:t>
      </w:r>
    </w:p>
    <w:p>
      <w:pPr>
        <w:pStyle w:val="3"/>
        <w:spacing w:before="40"/>
      </w:pPr>
      <w:r>
        <w:rPr>
          <w:w w:val="95"/>
        </w:rPr>
        <w:t xml:space="preserve">     </w:t>
      </w:r>
      <w:r>
        <w:t>食入：切勿给失去知觉者从嘴里喂食任何东西。用水漱口。请教医生。</w:t>
      </w:r>
    </w:p>
    <w:p>
      <w:pPr>
        <w:pStyle w:val="3"/>
      </w:pPr>
      <w:r>
        <w:rPr>
          <w:w w:val="95"/>
        </w:rPr>
        <w:t xml:space="preserve"> </w:t>
      </w:r>
      <w:r>
        <w:t>4.2 主要症状和影响，急性和迟发效应：摄入的影响可包括：,恶心,疲劳,头痛</w:t>
      </w:r>
    </w:p>
    <w:p>
      <w:pPr>
        <w:pStyle w:val="3"/>
        <w:spacing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t>5.1 特别危险性描述：无资料</w:t>
      </w:r>
    </w:p>
    <w:p>
      <w:pPr>
        <w:pStyle w:val="3"/>
        <w:spacing w:line="280" w:lineRule="auto"/>
        <w:ind w:right="259"/>
      </w:pPr>
      <w:r>
        <w:rPr>
          <w:w w:val="97"/>
        </w:rPr>
        <w:t xml:space="preserve"> </w:t>
      </w:r>
      <w:r>
        <w:rPr>
          <w:w w:val="95"/>
        </w:rPr>
        <w:t>5.2   灭火方法或灭火剂：小(起始)火时，使用媒介物如“乙醇”泡沫、干化学品或二氧化碳。大火时，尽可能使用水灭火。使用大量</w:t>
      </w:r>
      <w:r>
        <w:t>(洪水般的)水以喷雾状应用；水柱可能是无效的。用大量水降温所有受影响的容器。</w:t>
      </w:r>
    </w:p>
    <w:p>
      <w:pPr>
        <w:spacing w:after="0" w:line="280" w:lineRule="auto"/>
        <w:sectPr>
          <w:footerReference r:id="rId5" w:type="default"/>
          <w:pgSz w:w="11900" w:h="16840"/>
          <w:pgMar w:top="760" w:right="600" w:bottom="700" w:left="620" w:header="0" w:footer="509" w:gutter="0"/>
          <w:cols w:space="720" w:num="1"/>
        </w:sectPr>
      </w:pPr>
    </w:p>
    <w:p>
      <w:pPr>
        <w:pStyle w:val="3"/>
        <w:spacing w:before="50" w:line="220" w:lineRule="exact"/>
      </w:pPr>
      <w:r>
        <w:rPr>
          <w:w w:val="95"/>
        </w:rPr>
        <w:t xml:space="preserve"> </w:t>
      </w:r>
      <w:r>
        <w:t>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pStyle w:val="3"/>
      </w:pPr>
      <w:r>
        <w:rPr>
          <w:w w:val="98"/>
        </w:rPr>
        <w:t xml:space="preserve"> </w:t>
      </w:r>
      <w:r>
        <w:t>6.1 作业人员的防护措施、防护设备和应急处置程序：避免吸入蒸气、气雾或气体。消除所有火源。注意蒸气积累达到可爆炸的浓度</w:t>
      </w:r>
    </w:p>
    <w:p>
      <w:pPr>
        <w:pStyle w:val="3"/>
        <w:spacing w:before="40"/>
      </w:pPr>
      <w:r>
        <w:t>，蒸气可蓄积在地面低洼处。</w:t>
      </w:r>
    </w:p>
    <w:p>
      <w:pPr>
        <w:pStyle w:val="3"/>
      </w:pPr>
      <w:r>
        <w:rPr>
          <w:w w:val="97"/>
        </w:rPr>
        <w:t xml:space="preserve"> </w:t>
      </w:r>
      <w:r>
        <w:t>6.2 环境保护措施：如能确保安全，可采取措施防止进一步的泄漏或溢出。不要让产品进入下水道。</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去,根据当地规定处理(见第13部分)。放入合适的封闭的容器中待处理。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pPr>
      <w:r>
        <w:rPr>
          <w:w w:val="97"/>
        </w:rPr>
        <w:t xml:space="preserve"> </w:t>
      </w:r>
      <w:r>
        <w:t>7.1 安全处置注意事项：避免吸入蒸气或雾滴。切勿靠近火源。－严禁烟火。采取措施防止静电积聚。</w:t>
      </w:r>
    </w:p>
    <w:p>
      <w:pPr>
        <w:pStyle w:val="3"/>
        <w:spacing w:before="40"/>
      </w:pPr>
      <w:r>
        <w:rPr>
          <w:w w:val="97"/>
        </w:rPr>
        <w:t xml:space="preserve"> </w:t>
      </w:r>
      <w:r>
        <w:t>7.2 安全储存注意事项：贮存在阴凉处。使容器保持密闭，储存在干燥通风处。充气保存吸湿的</w:t>
      </w:r>
    </w:p>
    <w:p>
      <w:pPr>
        <w:pStyle w:val="3"/>
        <w:spacing w:line="220" w:lineRule="exact"/>
      </w:pPr>
      <w:r>
        <w:rPr>
          <w:w w:val="92"/>
        </w:rPr>
        <w:t xml:space="preserve"> </w:t>
      </w:r>
      <w:r>
        <w:t>7.3 不兼容性：酰基氯,含磷卤化物,强酸,强氧化剂,强还原剂</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spacing w:before="40"/>
      </w:pPr>
      <w:r>
        <w:rPr>
          <w:w w:val="93"/>
        </w:rPr>
        <w:t xml:space="preserve"> </w:t>
      </w:r>
      <w:r>
        <w:t>8.1 作业场所职业接触限值：</w:t>
      </w:r>
    </w:p>
    <w:p>
      <w:pPr>
        <w:pStyle w:val="3"/>
      </w:pPr>
      <w:r>
        <w:rPr>
          <w:w w:val="105"/>
        </w:rPr>
        <w:t xml:space="preserve"> MAC(mg/m3)：无资料</w:t>
      </w:r>
    </w:p>
    <w:p>
      <w:pPr>
        <w:pStyle w:val="3"/>
      </w:pPr>
      <w:r>
        <w:rPr>
          <w:w w:val="100"/>
        </w:rPr>
        <w:t xml:space="preserve"> </w:t>
      </w:r>
      <w:r>
        <w:t>PC-STEL(mg/m3)：无资料</w:t>
      </w:r>
    </w:p>
    <w:p>
      <w:pPr>
        <w:pStyle w:val="3"/>
        <w:spacing w:before="40"/>
      </w:pPr>
      <w:r>
        <w:rPr>
          <w:w w:val="106"/>
        </w:rPr>
        <w:t xml:space="preserve"> </w:t>
      </w:r>
      <w:r>
        <w:rPr>
          <w:w w:val="105"/>
        </w:rPr>
        <w:t>TLV-TWA(mg/m3)：无资料</w:t>
      </w:r>
    </w:p>
    <w:p>
      <w:pPr>
        <w:pStyle w:val="3"/>
      </w:pPr>
      <w:r>
        <w:rPr>
          <w:w w:val="105"/>
        </w:rPr>
        <w:t xml:space="preserve"> PC-TWA(mg/m3)：无资料</w:t>
      </w:r>
    </w:p>
    <w:p>
      <w:pPr>
        <w:pStyle w:val="3"/>
      </w:pPr>
      <w:r>
        <w:rPr>
          <w:w w:val="101"/>
        </w:rPr>
        <w:t xml:space="preserve"> </w:t>
      </w:r>
      <w:r>
        <w:t>TLV-C(mg/m3)：无资料</w:t>
      </w:r>
    </w:p>
    <w:p>
      <w:pPr>
        <w:pStyle w:val="3"/>
        <w:spacing w:before="40"/>
      </w:pPr>
      <w:r>
        <w:rPr>
          <w:w w:val="103"/>
        </w:rPr>
        <w:t xml:space="preserve"> </w:t>
      </w:r>
      <w:r>
        <w:rPr>
          <w:w w:val="105"/>
        </w:rPr>
        <w:t>TLV=STEL(mg/m3)：无资料</w:t>
      </w:r>
    </w:p>
    <w:p>
      <w:pPr>
        <w:pStyle w:val="3"/>
      </w:pPr>
      <w:r>
        <w:rPr>
          <w:w w:val="91"/>
        </w:rPr>
        <w:t xml:space="preserve"> </w:t>
      </w:r>
      <w:r>
        <w:t>8.2 检测方法：无资料</w:t>
      </w:r>
    </w:p>
    <w:p>
      <w:pPr>
        <w:pStyle w:val="3"/>
        <w:spacing w:before="40"/>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1"/>
      </w:pPr>
      <w:r>
        <w:rPr>
          <w:w w:val="89"/>
        </w:rPr>
        <w:t xml:space="preserve">     </w:t>
      </w:r>
      <w:r>
        <w:t>手防护：戴防化学品手套。</w:t>
      </w:r>
    </w:p>
    <w:p>
      <w:pPr>
        <w:pStyle w:val="3"/>
      </w:pPr>
      <w:r>
        <w:rPr>
          <w:w w:val="91"/>
        </w:rPr>
        <w:t xml:space="preserve">     </w:t>
      </w:r>
      <w:r>
        <w:t>眼睛防护：戴化学安全防护眼镜。</w:t>
      </w:r>
    </w:p>
    <w:p>
      <w:pPr>
        <w:pStyle w:val="3"/>
      </w:pPr>
      <w:r>
        <w:rPr>
          <w:w w:val="92"/>
        </w:rPr>
        <w:t xml:space="preserve">     </w:t>
      </w:r>
      <w:r>
        <w:t>皮肤和身体防护：穿化学品防护服。</w:t>
      </w:r>
    </w:p>
    <w:p>
      <w:pPr>
        <w:pStyle w:val="3"/>
        <w:spacing w:before="40"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spacing w:after="0"/>
        <w:sectPr>
          <w:footerReference r:id="rId6" w:type="default"/>
          <w:pgSz w:w="11900" w:h="16840"/>
          <w:pgMar w:top="760" w:right="600" w:bottom="700" w:left="620" w:header="0" w:footer="509" w:gutter="0"/>
          <w:pgNumType w:start="361"/>
          <w:cols w:space="720" w:num="1"/>
        </w:sectPr>
      </w:pPr>
    </w:p>
    <w:p>
      <w:pPr>
        <w:pStyle w:val="3"/>
        <w:spacing w:before="87" w:line="187" w:lineRule="auto"/>
        <w:ind w:left="140"/>
      </w:pPr>
      <w:r>
        <w:t>外观与性状：无色粘稠液体，无气味或几乎无臭，微有苦味，具强极性和吸湿性。</w:t>
      </w:r>
    </w:p>
    <w:p>
      <w:pPr>
        <w:pStyle w:val="3"/>
        <w:spacing w:before="48"/>
        <w:ind w:left="115"/>
      </w:pPr>
      <w:r>
        <w:br w:type="column"/>
      </w:r>
      <w:r>
        <w:t>气味：无气味或几乎无臭</w:t>
      </w:r>
    </w:p>
    <w:p>
      <w:pPr>
        <w:spacing w:after="0"/>
        <w:sectPr>
          <w:type w:val="continuous"/>
          <w:pgSz w:w="11900" w:h="16840"/>
          <w:pgMar w:top="1580" w:right="600" w:bottom="1180" w:left="620" w:header="720" w:footer="720" w:gutter="0"/>
          <w:cols w:equalWidth="0" w:num="2">
            <w:col w:w="6261" w:space="40"/>
            <w:col w:w="4379"/>
          </w:cols>
        </w:sectPr>
      </w:pPr>
    </w:p>
    <w:p>
      <w:pPr>
        <w:pStyle w:val="3"/>
        <w:tabs>
          <w:tab w:val="left" w:pos="6415"/>
        </w:tabs>
        <w:spacing w:before="19"/>
        <w:ind w:left="140"/>
      </w:pPr>
      <w:r>
        <w:rPr>
          <w:w w:val="105"/>
        </w:rPr>
        <w:t>气味阈值：无资料</w:t>
      </w:r>
      <w:r>
        <w:rPr>
          <w:w w:val="105"/>
        </w:rPr>
        <w:tab/>
      </w:r>
      <w:r>
        <w:rPr>
          <w:w w:val="105"/>
        </w:rPr>
        <w:t>pH：无资料</w:t>
      </w:r>
    </w:p>
    <w:p>
      <w:pPr>
        <w:pStyle w:val="3"/>
        <w:tabs>
          <w:tab w:val="left" w:pos="6415"/>
        </w:tabs>
        <w:spacing w:before="8"/>
        <w:ind w:left="140"/>
      </w:pPr>
      <w:r>
        <w:rPr>
          <w:w w:val="95"/>
        </w:rPr>
        <w:t>熔点/凝固点(℃)：16-19℃</w:t>
      </w:r>
      <w:r>
        <w:rPr>
          <w:w w:val="95"/>
        </w:rPr>
        <w:tab/>
      </w:r>
      <w:r>
        <w:t>沸点、初沸点、沸程(℃)：188-190℃/760mmHg</w:t>
      </w:r>
    </w:p>
    <w:p>
      <w:pPr>
        <w:pStyle w:val="3"/>
        <w:tabs>
          <w:tab w:val="left" w:pos="6415"/>
        </w:tabs>
        <w:spacing w:before="8"/>
        <w:ind w:left="140"/>
      </w:pPr>
      <w:r>
        <w:rPr>
          <w:w w:val="90"/>
        </w:rPr>
        <w:t>密度/相对密度(水=1)：ρ(20)1.101-1.103g/mL</w:t>
      </w:r>
      <w:r>
        <w:rPr>
          <w:w w:val="90"/>
        </w:rPr>
        <w:tab/>
      </w:r>
      <w:r>
        <w:t>蒸汽密度(空气=1)：2.70-(空气=1.0)</w:t>
      </w:r>
    </w:p>
    <w:p>
      <w:pPr>
        <w:pStyle w:val="3"/>
        <w:tabs>
          <w:tab w:val="left" w:pos="6415"/>
        </w:tabs>
        <w:spacing w:before="8"/>
        <w:ind w:left="140"/>
      </w:pPr>
      <w:r>
        <w:rPr>
          <w:w w:val="95"/>
        </w:rPr>
        <w:t>蒸汽压(kPa)：0.55hPa(20℃)</w:t>
      </w:r>
      <w:r>
        <w:rPr>
          <w:w w:val="95"/>
        </w:rPr>
        <w:tab/>
      </w:r>
      <w:r>
        <w:t>燃烧热(kJ/mol)：无资料</w:t>
      </w:r>
    </w:p>
    <w:p>
      <w:pPr>
        <w:pStyle w:val="3"/>
        <w:tabs>
          <w:tab w:val="left" w:pos="6415"/>
        </w:tabs>
        <w:spacing w:before="7"/>
        <w:ind w:left="140"/>
      </w:pPr>
      <w:r>
        <w:t>分解温度：无资料</w:t>
      </w:r>
      <w:r>
        <w:tab/>
      </w:r>
      <w:r>
        <w:t>临界压力：无资料</w:t>
      </w:r>
    </w:p>
    <w:p>
      <w:pPr>
        <w:pStyle w:val="3"/>
        <w:tabs>
          <w:tab w:val="left" w:pos="6415"/>
        </w:tabs>
        <w:spacing w:before="8"/>
        <w:ind w:left="140"/>
      </w:pPr>
      <w:r>
        <w:rPr>
          <w:w w:val="95"/>
        </w:rPr>
        <w:t>辛醇/水分配系数的对数值：logPow:-2.03</w:t>
      </w:r>
      <w:r>
        <w:rPr>
          <w:w w:val="95"/>
        </w:rPr>
        <w:tab/>
      </w:r>
      <w:r>
        <w:t>闪点(℃)：203℉/95℃</w:t>
      </w:r>
    </w:p>
    <w:p>
      <w:pPr>
        <w:pStyle w:val="3"/>
        <w:tabs>
          <w:tab w:val="left" w:pos="6415"/>
        </w:tabs>
        <w:spacing w:before="8"/>
        <w:ind w:left="140"/>
      </w:pPr>
      <w:r>
        <w:t>自燃温度(℃)：无资料</w:t>
      </w:r>
      <w:r>
        <w:tab/>
      </w:r>
      <w:r>
        <w:rPr>
          <w:w w:val="105"/>
        </w:rPr>
        <w:t>爆炸上限%（V/V）：42%(V)</w:t>
      </w:r>
    </w:p>
    <w:p>
      <w:pPr>
        <w:spacing w:after="0"/>
        <w:sectPr>
          <w:type w:val="continuous"/>
          <w:pgSz w:w="11900" w:h="16840"/>
          <w:pgMar w:top="1580" w:right="600" w:bottom="1180" w:left="620" w:header="720" w:footer="720" w:gutter="0"/>
          <w:cols w:space="720" w:num="1"/>
        </w:sectPr>
      </w:pPr>
    </w:p>
    <w:p>
      <w:pPr>
        <w:pStyle w:val="3"/>
        <w:spacing w:before="47" w:line="187" w:lineRule="auto"/>
        <w:ind w:left="140"/>
      </w:pPr>
      <w:r>
        <w:t>溶解性：能与水、乙醇和乙醚任意混溶，溶于丙酮、氯仿等有机溶剂，不溶于烷烃。</w:t>
      </w:r>
    </w:p>
    <w:p>
      <w:pPr>
        <w:pStyle w:val="3"/>
        <w:spacing w:before="8"/>
        <w:ind w:left="115"/>
      </w:pPr>
      <w:r>
        <w:br w:type="column"/>
      </w:r>
      <w:r>
        <w:rPr>
          <w:w w:val="105"/>
        </w:rPr>
        <w:t>爆炸下限%（V/V）：3.5%(V)</w:t>
      </w:r>
    </w:p>
    <w:p>
      <w:pPr>
        <w:spacing w:after="0"/>
        <w:sectPr>
          <w:type w:val="continuous"/>
          <w:pgSz w:w="11900" w:h="16840"/>
          <w:pgMar w:top="1580" w:right="600" w:bottom="1180" w:left="620" w:header="720" w:footer="720" w:gutter="0"/>
          <w:cols w:equalWidth="0" w:num="2">
            <w:col w:w="6261" w:space="40"/>
            <w:col w:w="4379"/>
          </w:cols>
        </w:sectPr>
      </w:pPr>
    </w:p>
    <w:p>
      <w:pPr>
        <w:pStyle w:val="3"/>
        <w:tabs>
          <w:tab w:val="left" w:pos="6415"/>
        </w:tabs>
        <w:spacing w:before="19"/>
        <w:ind w:left="140"/>
      </w:pPr>
      <w:r>
        <w:t>易燃性（固体、气体）：无资料</w:t>
      </w:r>
      <w:r>
        <w:tab/>
      </w:r>
      <w:r>
        <w:t>蒸发速率：无资料</w:t>
      </w:r>
    </w:p>
    <w:p>
      <w:pPr>
        <w:pStyle w:val="3"/>
        <w:spacing w:before="170"/>
      </w:pPr>
      <w:r>
        <w:t>10.稳定性和反应性</w:t>
      </w:r>
    </w:p>
    <w:p>
      <w:pPr>
        <w:pStyle w:val="3"/>
      </w:pPr>
      <w:r>
        <w:rPr>
          <w:w w:val="90"/>
        </w:rPr>
        <w:t xml:space="preserve"> </w:t>
      </w:r>
      <w:r>
        <w:t>10.1 稳定性：无资料</w:t>
      </w:r>
    </w:p>
    <w:p>
      <w:pPr>
        <w:pStyle w:val="3"/>
      </w:pPr>
      <w:r>
        <w:rPr>
          <w:w w:val="91"/>
        </w:rPr>
        <w:t xml:space="preserve"> </w:t>
      </w:r>
      <w:r>
        <w:t>10.2 危险反应：无资料</w:t>
      </w:r>
    </w:p>
    <w:p>
      <w:pPr>
        <w:pStyle w:val="3"/>
        <w:spacing w:before="40"/>
      </w:pPr>
      <w:r>
        <w:rPr>
          <w:w w:val="92"/>
        </w:rPr>
        <w:t xml:space="preserve"> </w:t>
      </w:r>
      <w:r>
        <w:t>10.3 应避免的条件：无资料</w:t>
      </w:r>
    </w:p>
    <w:p>
      <w:pPr>
        <w:pStyle w:val="3"/>
      </w:pPr>
      <w:r>
        <w:rPr>
          <w:w w:val="93"/>
        </w:rPr>
        <w:t xml:space="preserve"> </w:t>
      </w:r>
      <w:r>
        <w:t>10.4 不相容物质：酰基氯,含磷卤化物,强酸,强氧化剂,强还原剂</w:t>
      </w:r>
    </w:p>
    <w:p>
      <w:pPr>
        <w:pStyle w:val="3"/>
        <w:spacing w:line="220" w:lineRule="exact"/>
      </w:pPr>
      <w:r>
        <w:rPr>
          <w:w w:val="93"/>
        </w:rPr>
        <w:t xml:space="preserve"> </w:t>
      </w:r>
      <w:r>
        <w:t>10.5 危险的分解产物：无资料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1"/>
      </w:pPr>
      <w:r>
        <w:t>11.毒理学信息</w:t>
      </w:r>
    </w:p>
    <w:p>
      <w:pPr>
        <w:pStyle w:val="3"/>
      </w:pPr>
      <w:r>
        <w:rPr>
          <w:w w:val="95"/>
        </w:rPr>
        <w:t xml:space="preserve"> </w:t>
      </w:r>
      <w:r>
        <w:t>11.1 急性毒性：LD50经口-大鼠-14,500mg/kgLC50吸入-大鼠-4h-40250ppmLD50经皮-家兔-&gt;5,000mg/kg</w:t>
      </w:r>
    </w:p>
    <w:p>
      <w:pPr>
        <w:pStyle w:val="3"/>
      </w:pPr>
      <w:r>
        <w:rPr>
          <w:w w:val="93"/>
        </w:rPr>
        <w:t xml:space="preserve"> </w:t>
      </w:r>
      <w:r>
        <w:rPr>
          <w:w w:val="95"/>
        </w:rPr>
        <w:t>11.2</w:t>
      </w:r>
      <w:r>
        <w:rPr>
          <w:spacing w:val="-7"/>
          <w:w w:val="95"/>
        </w:rPr>
        <w:t xml:space="preserve"> 皮肤刺激或腐蚀：无资料</w:t>
      </w:r>
    </w:p>
    <w:p>
      <w:pPr>
        <w:pStyle w:val="3"/>
        <w:spacing w:before="40"/>
      </w:pPr>
      <w:r>
        <w:rPr>
          <w:w w:val="93"/>
        </w:rPr>
        <w:t xml:space="preserve"> </w:t>
      </w:r>
      <w:r>
        <w:rPr>
          <w:w w:val="95"/>
        </w:rPr>
        <w:t>11.3</w:t>
      </w:r>
      <w:r>
        <w:rPr>
          <w:spacing w:val="-7"/>
          <w:w w:val="95"/>
        </w:rPr>
        <w:t xml:space="preserve"> 眼睛刺激和腐蚀：无资料</w:t>
      </w:r>
    </w:p>
    <w:p>
      <w:pPr>
        <w:pStyle w:val="3"/>
      </w:pPr>
      <w:r>
        <w:rPr>
          <w:w w:val="93"/>
        </w:rPr>
        <w:t xml:space="preserve"> </w:t>
      </w:r>
      <w:r>
        <w:rPr>
          <w:w w:val="95"/>
        </w:rPr>
        <w:t>11.4</w:t>
      </w:r>
      <w:r>
        <w:rPr>
          <w:spacing w:val="-7"/>
          <w:w w:val="95"/>
        </w:rPr>
        <w:t xml:space="preserve"> 呼吸或皮肤过敏：无资料</w:t>
      </w:r>
    </w:p>
    <w:p>
      <w:pPr>
        <w:pStyle w:val="3"/>
        <w:spacing w:line="280" w:lineRule="auto"/>
        <w:ind w:right="122"/>
      </w:pPr>
      <w:r>
        <w:rPr>
          <w:w w:val="97"/>
        </w:rPr>
        <w:t xml:space="preserve"> </w:t>
      </w:r>
      <w:r>
        <w:rPr>
          <w:w w:val="95"/>
        </w:rPr>
        <w:t>11.5  生殖细胞突变性：体外基因毒性-小鼠-淋巴细胞细胞发生分析体外基因毒性-小鼠-淋巴细胞哺乳动物体细胞突变体内基因毒性-大</w:t>
      </w:r>
      <w:r>
        <w:t>鼠-腹膜内的细胞发生分析体内基因毒性-小鼠-腹膜内的DNA损伤</w:t>
      </w:r>
    </w:p>
    <w:p>
      <w:pPr>
        <w:pStyle w:val="3"/>
        <w:spacing w:before="1"/>
      </w:pPr>
      <w:r>
        <w:rPr>
          <w:w w:val="98"/>
        </w:rPr>
        <w:t xml:space="preserve"> </w:t>
      </w:r>
      <w:r>
        <w:t>11.6 致癌性：致癌性-大鼠-经口肿瘤发生：符合RTECS标准的可疑致癌试剂。皮肤及附属物：其他：肿瘤。致癌性-小鼠-经口肿瘤发</w:t>
      </w:r>
    </w:p>
    <w:p>
      <w:pPr>
        <w:spacing w:after="0"/>
        <w:sectPr>
          <w:type w:val="continuous"/>
          <w:pgSz w:w="11900" w:h="16840"/>
          <w:pgMar w:top="1580" w:right="600" w:bottom="1180" w:left="620" w:header="720" w:footer="720" w:gutter="0"/>
          <w:cols w:space="720" w:num="1"/>
        </w:sectPr>
      </w:pPr>
    </w:p>
    <w:p>
      <w:pPr>
        <w:pStyle w:val="3"/>
        <w:spacing w:before="50" w:line="280" w:lineRule="auto"/>
        <w:ind w:right="634"/>
      </w:pPr>
      <w:r>
        <w:t>生：符合RTECS标准的可疑致癌试剂。白血病皮肤及附属物：其他：肿瘤。IARC:此产品中没有大于或等于0。1%含量的组分被IARC鉴别为可能的或肯定的人类致癌物。</w:t>
      </w:r>
    </w:p>
    <w:p>
      <w:pPr>
        <w:pStyle w:val="3"/>
        <w:spacing w:before="0" w:line="280" w:lineRule="auto"/>
        <w:ind w:right="153"/>
      </w:pPr>
      <w:r>
        <w:rPr>
          <w:w w:val="97"/>
        </w:rPr>
        <w:t xml:space="preserve"> </w:t>
      </w:r>
      <w:r>
        <w:rPr>
          <w:w w:val="95"/>
        </w:rPr>
        <w:t>11.7</w:t>
      </w:r>
      <w:r>
        <w:rPr>
          <w:spacing w:val="-1"/>
          <w:w w:val="95"/>
        </w:rPr>
        <w:t xml:space="preserve">  生殖毒性：生殖毒性-大鼠-腹膜内的对生殖的影响：流产。生殖毒性-大鼠-腹膜内的对生殖的影响：胚胎植入后死亡率(例如总着</w:t>
      </w:r>
      <w:r>
        <w:rPr>
          <w:w w:val="95"/>
        </w:rPr>
        <w:t xml:space="preserve">床胚胎数中死亡和/或被再吸收的胚胎数)。生殖毒性-大鼠-皮下的对生殖的影响：胚胎植入后死亡率(例如总着床胚胎数中死亡和/或    </w:t>
      </w:r>
      <w:r>
        <w:rPr>
          <w:spacing w:val="-1"/>
          <w:w w:val="95"/>
        </w:rPr>
        <w:t xml:space="preserve">被再吸收的胚胎数)。对生殖的影响：数量少(例如＃每胎产仔；出生前测定)。生殖毒性-小鼠-经口对生殖的影响：胚胎植入前死亡率     </w:t>
      </w:r>
      <w:r>
        <w:t>(例如每个雌性的植入胚胎数减少；每个黄体的植入总数。对胚胎或胎儿的影响：胎儿毒性(死亡除外，例如矮小胎儿)。特定发育异</w:t>
      </w:r>
      <w:r>
        <w:rPr>
          <w:w w:val="95"/>
        </w:rPr>
        <w:t xml:space="preserve">常：肌肉骨骼系统。发育毒性-小鼠-腹膜内的对胚胎或胎儿的影响：胎儿毒性(死亡除外，例如矮小胎儿)。特定发育异常：肌肉骨骼    </w:t>
      </w:r>
      <w:r>
        <w:t>系统。</w:t>
      </w:r>
    </w:p>
    <w:p>
      <w:pPr>
        <w:pStyle w:val="3"/>
        <w:spacing w:before="1"/>
      </w:pPr>
      <w:r>
        <w:rPr>
          <w:w w:val="95"/>
        </w:rPr>
        <w:t xml:space="preserve"> 11.8 特异性靶器官系统毒性（一次接触）：无资料</w:t>
      </w:r>
    </w:p>
    <w:p>
      <w:pPr>
        <w:pStyle w:val="3"/>
      </w:pPr>
      <w:r>
        <w:rPr>
          <w:w w:val="95"/>
        </w:rPr>
        <w:t xml:space="preserve"> 11.9 特异性靶器官系统毒性（反复接触）：无资料</w:t>
      </w:r>
    </w:p>
    <w:p>
      <w:pPr>
        <w:pStyle w:val="3"/>
        <w:spacing w:before="40"/>
      </w:pPr>
      <w:r>
        <w:rPr>
          <w:w w:val="91"/>
        </w:rPr>
        <w:t xml:space="preserve"> </w:t>
      </w:r>
      <w:r>
        <w:rPr>
          <w:w w:val="90"/>
        </w:rPr>
        <w:t>11.10 吸入危险：无资料</w:t>
      </w:r>
    </w:p>
    <w:p>
      <w:pPr>
        <w:pStyle w:val="3"/>
      </w:pPr>
      <w:r>
        <w:rPr>
          <w:w w:val="91"/>
        </w:rPr>
        <w:t xml:space="preserve"> </w:t>
      </w:r>
      <w:r>
        <w:rPr>
          <w:w w:val="90"/>
        </w:rPr>
        <w:t>11.11 潜在的健康危险：</w:t>
      </w:r>
    </w:p>
    <w:p>
      <w:pPr>
        <w:pStyle w:val="3"/>
        <w:spacing w:before="40"/>
      </w:pPr>
      <w:r>
        <w:rPr>
          <w:w w:val="98"/>
        </w:rPr>
        <w:t xml:space="preserve"> </w:t>
      </w:r>
      <w:r>
        <w:t>吸入：吸入有害。引起呼吸道刺激。蒸气可引起睡意和眩昏。</w:t>
      </w:r>
    </w:p>
    <w:p>
      <w:pPr>
        <w:pStyle w:val="3"/>
      </w:pPr>
      <w:r>
        <w:rPr>
          <w:w w:val="97"/>
        </w:rPr>
        <w:t xml:space="preserve"> </w:t>
      </w:r>
      <w:r>
        <w:t>摄入：误吞对人体有害。</w:t>
      </w:r>
    </w:p>
    <w:p>
      <w:pPr>
        <w:pStyle w:val="3"/>
      </w:pPr>
      <w:r>
        <w:rPr>
          <w:w w:val="98"/>
        </w:rPr>
        <w:t xml:space="preserve"> </w:t>
      </w:r>
      <w:r>
        <w:t>皮肤：通过皮肤吸收有害。造成皮肤刺激。</w:t>
      </w:r>
    </w:p>
    <w:p>
      <w:pPr>
        <w:pStyle w:val="3"/>
        <w:spacing w:before="40" w:line="220" w:lineRule="exact"/>
      </w:pPr>
      <w:r>
        <w:rPr>
          <w:w w:val="97"/>
        </w:rPr>
        <w:t xml:space="preserve"> </w:t>
      </w:r>
      <w:r>
        <w:t>眼睛：造成严重眼刺激。</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12.生态学信息</w:t>
      </w:r>
    </w:p>
    <w:p>
      <w:pPr>
        <w:pStyle w:val="3"/>
        <w:spacing w:line="280" w:lineRule="auto"/>
        <w:ind w:right="237"/>
      </w:pPr>
      <w:r>
        <w:rPr>
          <w:w w:val="92"/>
        </w:rPr>
        <w:t xml:space="preserve"> </w:t>
      </w:r>
      <w:r>
        <w:rPr>
          <w:w w:val="90"/>
        </w:rPr>
        <w:t>12.1  生态毒性：对鱼类的毒性LC50-Pimephalespromelas(肥头鲦鱼)-34,000mg/l-96hLC50-Oncorhynchusmykiss(虹鳟)-35,000mg/l-96h对水</w:t>
      </w:r>
      <w:r>
        <w:t>溞和其他水生无脊EC50-Daphniamagna(水溞)-24,600mg/l-48h椎动物的毒性方法:OECD测试导则202对藻类的毒性EC50- Pseudokirchneriellasubcapitata(绿藻)-17,000mg/l-72h方法:OECD测试导则201</w:t>
      </w:r>
    </w:p>
    <w:p>
      <w:pPr>
        <w:pStyle w:val="3"/>
        <w:spacing w:before="1"/>
      </w:pPr>
      <w:r>
        <w:rPr>
          <w:w w:val="99"/>
        </w:rPr>
        <w:t xml:space="preserve"> </w:t>
      </w:r>
      <w:r>
        <w:t>12.2 持久性和降解性：生物降解性结果:31%-根据生物降解试验，此产品不归为快速生物降解物质。方法:OECD测试导则301D</w:t>
      </w:r>
    </w:p>
    <w:p>
      <w:pPr>
        <w:pStyle w:val="3"/>
      </w:pPr>
      <w:r>
        <w:rPr>
          <w:w w:val="93"/>
        </w:rPr>
        <w:t xml:space="preserve"> </w:t>
      </w:r>
      <w:r>
        <w:t>12.3 潜在的生物累积性：无资料</w:t>
      </w:r>
    </w:p>
    <w:p>
      <w:pPr>
        <w:pStyle w:val="3"/>
      </w:pPr>
      <w:r>
        <w:rPr>
          <w:w w:val="93"/>
        </w:rPr>
        <w:t xml:space="preserve"> </w:t>
      </w:r>
      <w:r>
        <w:t>12.4 土壤中的迁移性：无资料</w:t>
      </w:r>
    </w:p>
    <w:p>
      <w:pPr>
        <w:pStyle w:val="3"/>
        <w:spacing w:before="40" w:line="220" w:lineRule="exact"/>
      </w:pPr>
      <w:r>
        <w:rPr>
          <w:w w:val="92"/>
        </w:rPr>
        <w:t xml:space="preserve"> </w:t>
      </w:r>
      <w:r>
        <w:t>12.5 其它不良影响：无资料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13.废弃处置</w:t>
      </w:r>
    </w:p>
    <w:p>
      <w:pPr>
        <w:pStyle w:val="3"/>
        <w:spacing w:line="280" w:lineRule="auto"/>
        <w:ind w:right="131"/>
      </w:pPr>
      <w:r>
        <w:rPr>
          <w:w w:val="98"/>
        </w:rPr>
        <w:t xml:space="preserve"> </w:t>
      </w:r>
      <w:r>
        <w:rPr>
          <w:w w:val="95"/>
        </w:rPr>
        <w:t>13.1   残余废弃物处置方法：此易爆炸产品可以在备有燃烧后处理和洗刷作用的化学焚化炉中燃烧将剩余的和不可回收的溶液交给有许</w:t>
      </w:r>
      <w:r>
        <w:t>可证的公司处理。联系专业的拥有废弃物处理执照的机构来处理此物质。</w:t>
      </w:r>
    </w:p>
    <w:p>
      <w:pPr>
        <w:pStyle w:val="3"/>
        <w:spacing w:before="1"/>
      </w:pPr>
      <w:r>
        <w:rPr>
          <w:w w:val="95"/>
        </w:rPr>
        <w:t xml:space="preserve"> </w:t>
      </w:r>
      <w:r>
        <w:t>13.2 受污染的容器和包装：按未用产品处置</w:t>
      </w:r>
    </w:p>
    <w:p>
      <w:pPr>
        <w:pStyle w:val="3"/>
        <w:spacing w:line="220" w:lineRule="exact"/>
      </w:pPr>
      <w:r>
        <w:rPr>
          <w:w w:val="96"/>
        </w:rPr>
        <w:t xml:space="preserve"> </w:t>
      </w:r>
      <w:r>
        <w:t>13.3 废弃处置注意事项：处置前参照国家和地方有关法律法规</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14.运输信息</w:t>
      </w:r>
    </w:p>
    <w:p>
      <w:pPr>
        <w:pStyle w:val="3"/>
      </w:pPr>
      <w:r>
        <w:rPr>
          <w:w w:val="104"/>
        </w:rPr>
        <w:t xml:space="preserve">  </w:t>
      </w:r>
      <w:r>
        <w:rPr>
          <w:w w:val="105"/>
        </w:rPr>
        <w:t>危规号CN：NA</w:t>
      </w:r>
    </w:p>
    <w:p>
      <w:pPr>
        <w:pStyle w:val="3"/>
        <w:spacing w:before="40"/>
      </w:pPr>
      <w:r>
        <w:rPr>
          <w:w w:val="98"/>
        </w:rPr>
        <w:t xml:space="preserve">  </w:t>
      </w:r>
      <w:r>
        <w:t>联合国危险货物编号：NA</w:t>
      </w:r>
    </w:p>
    <w:p>
      <w:pPr>
        <w:pStyle w:val="3"/>
      </w:pPr>
      <w:r>
        <w:rPr>
          <w:w w:val="95"/>
        </w:rPr>
        <w:t xml:space="preserve">  </w:t>
      </w:r>
      <w:r>
        <w:t>联合国运输名称：非危险货物</w:t>
      </w:r>
    </w:p>
    <w:p>
      <w:pPr>
        <w:pStyle w:val="3"/>
      </w:pPr>
      <w:r>
        <w:rPr>
          <w:w w:val="98"/>
        </w:rPr>
        <w:t xml:space="preserve">  </w:t>
      </w:r>
      <w:r>
        <w:t>联合国危险性分类：NA</w:t>
      </w:r>
    </w:p>
    <w:p>
      <w:pPr>
        <w:pStyle w:val="3"/>
        <w:spacing w:before="40"/>
      </w:pPr>
      <w:r>
        <w:rPr>
          <w:w w:val="92"/>
        </w:rPr>
        <w:t xml:space="preserve">  </w:t>
      </w:r>
      <w:r>
        <w:t>包装组：无资料</w:t>
      </w:r>
    </w:p>
    <w:p>
      <w:pPr>
        <w:pStyle w:val="3"/>
      </w:pPr>
      <w:r>
        <w:rPr>
          <w:w w:val="93"/>
        </w:rPr>
        <w:t xml:space="preserve">  </w:t>
      </w:r>
      <w:r>
        <w:t>包装方法：无资料</w:t>
      </w:r>
    </w:p>
    <w:p>
      <w:pPr>
        <w:pStyle w:val="3"/>
        <w:spacing w:before="40"/>
      </w:pPr>
      <w:r>
        <w:rPr>
          <w:w w:val="93"/>
        </w:rPr>
        <w:t xml:space="preserve">  </w:t>
      </w:r>
      <w:r>
        <w:t>海洋污染物（是/否）：否</w:t>
      </w:r>
    </w:p>
    <w:p>
      <w:pPr>
        <w:pStyle w:val="3"/>
        <w:spacing w:line="220" w:lineRule="exact"/>
      </w:pPr>
      <w:r>
        <w:rPr>
          <w:w w:val="94"/>
        </w:rPr>
        <w:t xml:space="preserve">  </w:t>
      </w:r>
      <w:r>
        <w:t>运输注意事项：无资料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15.法规信息</w:t>
      </w:r>
    </w:p>
    <w:p>
      <w:pPr>
        <w:pStyle w:val="3"/>
      </w:pPr>
      <w:r>
        <w:t>下列法律法规和标准，对化学品的安全使用、储存、运输、装卸、分类和标志等方面均作了相应的规定：</w:t>
      </w:r>
    </w:p>
    <w:p>
      <w:pPr>
        <w:pStyle w:val="3"/>
        <w:spacing w:before="40"/>
      </w:pPr>
      <w:r>
        <w:rPr>
          <w:w w:val="88"/>
        </w:rPr>
        <w:t xml:space="preserve">        </w:t>
      </w:r>
      <w:r>
        <w:t>《危险化学品名录》（2015版）：未列入</w:t>
      </w:r>
    </w:p>
    <w:p>
      <w:pPr>
        <w:pStyle w:val="3"/>
      </w:pPr>
      <w:r>
        <w:rPr>
          <w:w w:val="89"/>
        </w:rPr>
        <w:t xml:space="preserve">        </w:t>
      </w:r>
      <w:r>
        <w:t>《易制毒化学品名录》（2002版）：未列入</w:t>
      </w:r>
    </w:p>
    <w:p>
      <w:pPr>
        <w:pStyle w:val="3"/>
        <w:spacing w:before="40"/>
      </w:pPr>
      <w:r>
        <w:rPr>
          <w:w w:val="90"/>
        </w:rPr>
        <w:t xml:space="preserve">        </w:t>
      </w:r>
      <w:r>
        <w:t>《易制爆危险化学品名录》（2011版）：未列入</w:t>
      </w:r>
    </w:p>
    <w:p>
      <w:pPr>
        <w:pStyle w:val="3"/>
      </w:pPr>
      <w:r>
        <w:rPr>
          <w:w w:val="92"/>
        </w:rPr>
        <w:t xml:space="preserve">        </w:t>
      </w:r>
      <w:r>
        <w:t>化学品分类、警示标签和警示性说明规范系列标准（GB 20576～GB 20602）</w:t>
      </w:r>
    </w:p>
    <w:p>
      <w:pPr>
        <w:pStyle w:val="3"/>
        <w:spacing w:line="220" w:lineRule="exact"/>
      </w:pPr>
      <w:r>
        <w:t>若适用，该化学品满足《危险化学品安全管理条例》(2011年2月16日国务院第591号令颁布)的要求。</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16.其他信息</w:t>
      </w:r>
    </w:p>
    <w:p>
      <w:pPr>
        <w:pStyle w:val="3"/>
        <w:spacing w:before="40"/>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spacing w:before="40"/>
      </w:pPr>
      <w:r>
        <w:rPr>
          <w:w w:val="97"/>
        </w:rPr>
        <w:t xml:space="preserve">  </w:t>
      </w:r>
      <w:r>
        <w:t>修改说明：每5年修订一次或有国家新的相关法律法规出台时</w:t>
      </w:r>
    </w:p>
    <w:p>
      <w:pPr>
        <w:pStyle w:val="3"/>
        <w:spacing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p>
    <w:p>
      <w:pPr>
        <w:spacing w:after="0" w:line="280" w:lineRule="auto"/>
        <w:jc w:val="both"/>
        <w:sectPr>
          <w:pgSz w:w="11900" w:h="16840"/>
          <w:pgMar w:top="760" w:right="600" w:bottom="700" w:left="620" w:header="0" w:footer="509" w:gutter="0"/>
          <w:cols w:space="720" w:num="1"/>
        </w:sectPr>
      </w:pPr>
    </w:p>
    <w:p>
      <w:pPr>
        <w:pStyle w:val="3"/>
        <w:spacing w:before="50"/>
      </w:pP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ind w:left="0"/>
      <w:rPr>
        <w:sz w:val="20"/>
      </w:rPr>
    </w:pPr>
    <w:r>
      <mc:AlternateContent>
        <mc:Choice Requires="wps">
          <w:drawing>
            <wp:anchor distT="0" distB="0" distL="114300" distR="114300" simplePos="0" relativeHeight="251659264" behindDoc="1" locked="0" layoutInCell="1" allowOverlap="1">
              <wp:simplePos x="0" y="0"/>
              <wp:positionH relativeFrom="page">
                <wp:posOffset>6375400</wp:posOffset>
              </wp:positionH>
              <wp:positionV relativeFrom="page">
                <wp:posOffset>10230485</wp:posOffset>
              </wp:positionV>
              <wp:extent cx="278765" cy="1993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78765" cy="199390"/>
                      </a:xfrm>
                      <a:prstGeom prst="rect">
                        <a:avLst/>
                      </a:prstGeom>
                      <a:noFill/>
                      <a:ln>
                        <a:noFill/>
                      </a:ln>
                    </wps:spPr>
                    <wps:txbx>
                      <w:txbxContent>
                        <w:p>
                          <w:pPr>
                            <w:spacing w:before="2"/>
                            <w:ind w:left="20" w:right="0" w:firstLine="0"/>
                            <w:jc w:val="left"/>
                            <w:rPr>
                              <w:rFonts w:ascii="Times New Roman"/>
                              <w:sz w:val="24"/>
                            </w:rPr>
                          </w:pPr>
                          <w:r>
                            <w:rPr>
                              <w:rFonts w:ascii="Times New Roman"/>
                              <w:w w:val="110"/>
                              <w:sz w:val="24"/>
                            </w:rPr>
                            <w:t>360</w:t>
                          </w:r>
                        </w:p>
                      </w:txbxContent>
                    </wps:txbx>
                    <wps:bodyPr lIns="0" tIns="0" rIns="0" bIns="0" upright="1"/>
                  </wps:wsp>
                </a:graphicData>
              </a:graphic>
            </wp:anchor>
          </w:drawing>
        </mc:Choice>
        <mc:Fallback>
          <w:pict>
            <v:shape id="_x0000_s1026" o:spid="_x0000_s1026" o:spt="202" type="#_x0000_t202" style="position:absolute;left:0pt;margin-left:502pt;margin-top:805.55pt;height:15.7pt;width:21.95pt;mso-position-horizontal-relative:page;mso-position-vertical-relative:page;z-index:-251657216;mso-width-relative:page;mso-height-relative:page;" filled="f" stroked="f" coordsize="21600,21600" o:gfxdata="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7CE6P2wAAAA8BAAAPAAAAAAAAAAEAIAAAACIAAABkcnMvZG93bnJldi54bWxQ&#10;SwECFAAUAAAACACHTuJApK6o4bsBAABxAwAADgAAAAAAAAABACAAAAAqAQAAZHJzL2Uyb0RvYy54&#10;bWxQSwUGAAAAAAYABgBZAQAAVwUAAAAA&#10;">
              <v:path/>
              <v:fill on="f" focussize="0,0"/>
              <v:stroke on="f" joinstyle="miter"/>
              <v:imagedata o:title=""/>
              <o:lock v:ext="edit"/>
              <v:textbox inset="0mm,0mm,0mm,0mm">
                <w:txbxContent>
                  <w:p>
                    <w:pPr>
                      <w:spacing w:before="2"/>
                      <w:ind w:left="20" w:right="0" w:firstLine="0"/>
                      <w:jc w:val="left"/>
                      <w:rPr>
                        <w:rFonts w:ascii="Times New Roman"/>
                        <w:sz w:val="24"/>
                      </w:rPr>
                    </w:pPr>
                    <w:r>
                      <w:rPr>
                        <w:rFonts w:ascii="Times New Roman"/>
                        <w:w w:val="110"/>
                        <w:sz w:val="24"/>
                      </w:rPr>
                      <w:t>360</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ind w:left="0"/>
      <w:rPr>
        <w:sz w:val="20"/>
      </w:rPr>
    </w:pPr>
    <w:r>
      <mc:AlternateContent>
        <mc:Choice Requires="wps">
          <w:drawing>
            <wp:anchor distT="0" distB="0" distL="114300" distR="114300" simplePos="0" relativeHeight="251659264" behindDoc="1" locked="0" layoutInCell="1" allowOverlap="1">
              <wp:simplePos x="0" y="0"/>
              <wp:positionH relativeFrom="page">
                <wp:posOffset>6362700</wp:posOffset>
              </wp:positionH>
              <wp:positionV relativeFrom="page">
                <wp:posOffset>10225405</wp:posOffset>
              </wp:positionV>
              <wp:extent cx="304165" cy="204470"/>
              <wp:effectExtent l="0" t="0" r="0" b="0"/>
              <wp:wrapNone/>
              <wp:docPr id="2" name="文本框 2"/>
              <wp:cNvGraphicFramePr/>
              <a:graphic xmlns:a="http://schemas.openxmlformats.org/drawingml/2006/main">
                <a:graphicData uri="http://schemas.microsoft.com/office/word/2010/wordprocessingShape">
                  <wps:wsp>
                    <wps:cNvSpPr txBox="1"/>
                    <wps:spPr>
                      <a:xfrm>
                        <a:off x="0" y="0"/>
                        <a:ext cx="304165" cy="204470"/>
                      </a:xfrm>
                      <a:prstGeom prst="rect">
                        <a:avLst/>
                      </a:prstGeom>
                      <a:noFill/>
                      <a:ln>
                        <a:noFill/>
                      </a:ln>
                    </wps:spPr>
                    <wps:txbx>
                      <w:txbxContent>
                        <w:p>
                          <w:pPr>
                            <w:spacing w:before="10"/>
                            <w:ind w:left="40" w:right="0" w:firstLine="0"/>
                            <w:jc w:val="left"/>
                            <w:rPr>
                              <w:rFonts w:ascii="Times New Roman"/>
                              <w:sz w:val="24"/>
                            </w:rPr>
                          </w:pPr>
                          <w:r>
                            <w:fldChar w:fldCharType="begin"/>
                          </w:r>
                          <w:r>
                            <w:rPr>
                              <w:rFonts w:ascii="Times New Roman"/>
                              <w:w w:val="110"/>
                              <w:sz w:val="24"/>
                            </w:rPr>
                            <w:instrText xml:space="preserve"> PAGE </w:instrText>
                          </w:r>
                          <w:r>
                            <w:fldChar w:fldCharType="separate"/>
                          </w:r>
                          <w:r>
                            <w:t>361</w:t>
                          </w:r>
                          <w:r>
                            <w:fldChar w:fldCharType="end"/>
                          </w:r>
                        </w:p>
                      </w:txbxContent>
                    </wps:txbx>
                    <wps:bodyPr lIns="0" tIns="0" rIns="0" bIns="0" upright="1"/>
                  </wps:wsp>
                </a:graphicData>
              </a:graphic>
            </wp:anchor>
          </w:drawing>
        </mc:Choice>
        <mc:Fallback>
          <w:pict>
            <v:shape id="_x0000_s1026" o:spid="_x0000_s1026" o:spt="202" type="#_x0000_t202" style="position:absolute;left:0pt;margin-left:501pt;margin-top:805.15pt;height:16.1pt;width:23.95pt;mso-position-horizontal-relative:page;mso-position-vertical-relative:page;z-index:-251657216;mso-width-relative:page;mso-height-relative:page;" filled="f" stroked="f" coordsize="21600,21600" o:gfxdata="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7gWii2wAAAA8BAAAPAAAAAAAAAAEAIAAAACIAAABkcnMvZG93bnJldi54bWxQ&#10;SwECFAAUAAAACACHTuJA2FTF7rsBAABxAwAADgAAAAAAAAABACAAAAAqAQAAZHJzL2Uyb0RvYy54&#10;bWxQSwUGAAAAAAYABgBZAQAAVwUAAAAA&#10;">
              <v:path/>
              <v:fill on="f" focussize="0,0"/>
              <v:stroke on="f" joinstyle="miter"/>
              <v:imagedata o:title=""/>
              <o:lock v:ext="edit"/>
              <v:textbox inset="0mm,0mm,0mm,0mm">
                <w:txbxContent>
                  <w:p>
                    <w:pPr>
                      <w:spacing w:before="10"/>
                      <w:ind w:left="40" w:right="0" w:firstLine="0"/>
                      <w:jc w:val="left"/>
                      <w:rPr>
                        <w:rFonts w:ascii="Times New Roman"/>
                        <w:sz w:val="24"/>
                      </w:rPr>
                    </w:pPr>
                    <w:r>
                      <w:fldChar w:fldCharType="begin"/>
                    </w:r>
                    <w:r>
                      <w:rPr>
                        <w:rFonts w:ascii="Times New Roman"/>
                        <w:w w:val="110"/>
                        <w:sz w:val="24"/>
                      </w:rPr>
                      <w:instrText xml:space="preserve"> PAGE </w:instrText>
                    </w:r>
                    <w:r>
                      <w:fldChar w:fldCharType="separate"/>
                    </w:r>
                    <w:r>
                      <w:t>361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1FA00C33"/>
    <w:rsid w:val="16047413"/>
    <w:rsid w:val="1FA00C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2023-11-02T09:30:00Z</dcterms:created>
  <dc:creator>刘文丹。</dc:creator>
  <cp:lastModifiedBy>刘文丹。</cp:lastModifiedBy>
  <dcterms:modified xsi:type="dcterms:W3CDTF">2023-11-02T09:30:59Z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756FACE09370446FAC330F1D3782365C_11</vt:lpwstr>
  </property>
</Properties>
</file>