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sz w:val="28"/>
          <w:szCs w:val="36"/>
          <w:lang w:eastAsia="zh-CN"/>
        </w:rPr>
      </w:pPr>
      <w:r>
        <w:rPr>
          <w:sz w:val="28"/>
          <w:szCs w:val="36"/>
        </w:rPr>
        <w:t>碘化钾</w:t>
      </w:r>
      <w:r>
        <w:rPr>
          <w:rFonts w:hint="eastAsia"/>
          <w:sz w:val="28"/>
          <w:szCs w:val="36"/>
          <w:lang w:eastAsia="zh-CN"/>
        </w:rPr>
        <w:t>安全说明书</w:t>
      </w:r>
    </w:p>
    <w:p>
      <w:pPr>
        <w:pStyle w:val="3"/>
        <w:spacing w:before="0" w:line="280" w:lineRule="auto"/>
        <w:ind w:right="9013"/>
      </w:pPr>
      <w:r>
        <w:rPr>
          <w:w w:val="95"/>
        </w:rPr>
        <w:t>1.化学品及企业标识</w:t>
      </w:r>
      <w:r>
        <w:t>中文名：碘化钾</w:t>
      </w:r>
    </w:p>
    <w:p>
      <w:pPr>
        <w:pStyle w:val="3"/>
        <w:spacing w:before="0" w:line="280" w:lineRule="auto"/>
        <w:ind w:right="8606"/>
      </w:pPr>
      <w:r>
        <w:rPr>
          <w:w w:val="90"/>
        </w:rPr>
        <w:t xml:space="preserve">英文名：Potassium iodide </w:t>
      </w:r>
      <w:r>
        <w:t>中文别名：碘化钾</w:t>
      </w:r>
    </w:p>
    <w:p>
      <w:pPr>
        <w:pStyle w:val="3"/>
        <w:spacing w:before="1"/>
      </w:pPr>
      <w:r>
        <w:t>英文别名：Potassium iodide</w:t>
      </w:r>
    </w:p>
    <w:p>
      <w:pPr>
        <w:pStyle w:val="3"/>
      </w:pPr>
      <w:r>
        <w:t>推荐用途：实验室用化验、试验及科学实验。</w:t>
      </w:r>
    </w:p>
    <w:p>
      <w:pPr>
        <w:pStyle w:val="3"/>
        <w:spacing w:before="40"/>
      </w:pPr>
      <w:r>
        <w:t>限制用</w:t>
      </w:r>
      <w:bookmarkStart w:id="0" w:name="_GoBack"/>
      <w:bookmarkEnd w:id="0"/>
      <w:r>
        <w:t>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CSDS7681-11-0 碘化钾</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pPr>
      <w:r>
        <w:rPr>
          <w:w w:val="98"/>
        </w:rPr>
        <w:t xml:space="preserve"> </w:t>
      </w:r>
      <w:r>
        <w:t>2.1 紧急情况概述：白色结晶。吞咽有害。造成皮肤刺激。造成严重眼刺激。过量接触需采取特殊急救措施和进行医疗随访。用水雾</w:t>
      </w:r>
    </w:p>
    <w:p>
      <w:pPr>
        <w:pStyle w:val="3"/>
        <w:spacing w:before="40"/>
      </w:pPr>
      <w:r>
        <w:t>,耐醇泡沫,干粉或二氧化碳灭火。如必要的话,戴自给式呼吸器去救火。</w:t>
      </w:r>
    </w:p>
    <w:p>
      <w:pPr>
        <w:pStyle w:val="3"/>
      </w:pPr>
      <w:r>
        <w:rPr>
          <w:w w:val="98"/>
        </w:rPr>
        <w:t xml:space="preserve"> </w:t>
      </w:r>
      <w:r>
        <w:t>2.2 GHS危险性分类：急性毒性,经口（类别4）皮肤刺激（类别2）眼刺激（类别2A）</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4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8"/>
        </w:rPr>
        <w:t xml:space="preserve"> </w:t>
      </w:r>
      <w:r>
        <w:t>危险信息：吞咽有害。造成皮肤刺激。造成严重眼刺激。</w:t>
      </w:r>
    </w:p>
    <w:p>
      <w:pPr>
        <w:pStyle w:val="3"/>
      </w:pPr>
      <w:r>
        <w:rPr>
          <w:w w:val="98"/>
        </w:rPr>
        <w:t xml:space="preserve"> </w:t>
      </w:r>
      <w:r>
        <w:t>预防措施：操作后彻底清洁皮肤。使用本产品时不要进食、饮水或吸烟。穿戴防护手套/眼保护罩/面部保护罩。</w:t>
      </w:r>
    </w:p>
    <w:p>
      <w:pPr>
        <w:pStyle w:val="3"/>
        <w:spacing w:before="40" w:line="280" w:lineRule="auto"/>
        <w:ind w:right="237"/>
      </w:pPr>
      <w:r>
        <w:rPr>
          <w:w w:val="99"/>
        </w:rPr>
        <w:t xml:space="preserve"> </w:t>
      </w:r>
      <w:r>
        <w:rPr>
          <w:spacing w:val="-1"/>
          <w:w w:val="95"/>
        </w:rPr>
        <w:t xml:space="preserve">事故响应：如果吞下去了:如感觉不适。呼救解毒中心或看医生。如与皮肤接触。用大量肥皂和水冲洗受感染部位。如与眼睛接触。    </w:t>
      </w:r>
      <w:r>
        <w:rPr>
          <w:w w:val="95"/>
        </w:rPr>
        <w:t>用水缓慢温和地冲洗几分钟。如戴隐形眼镜并可方便地取出。取出隐形眼镜。然后继续冲洗。具体治疗(见本标签上提供的急救指导</w:t>
      </w:r>
    </w:p>
    <w:p>
      <w:pPr>
        <w:pStyle w:val="3"/>
        <w:spacing w:before="0" w:line="280" w:lineRule="auto"/>
        <w:ind w:right="250"/>
      </w:pPr>
      <w:r>
        <w:rPr>
          <w:w w:val="95"/>
        </w:rPr>
        <w:t>)。漱口。如发生皮肤刺激：求医/就诊。如仍觉眼睛刺激：求医/就诊。如仍觉眼睛刺激：求医/</w:t>
      </w:r>
      <w:r>
        <w:rPr>
          <w:spacing w:val="-2"/>
          <w:w w:val="95"/>
        </w:rPr>
        <w:t xml:space="preserve">就诊。脱掉沾染的衣服。清洗后方可    </w:t>
      </w:r>
      <w:r>
        <w:t>重新使用。</w:t>
      </w:r>
    </w:p>
    <w:p>
      <w:pPr>
        <w:pStyle w:val="3"/>
        <w:spacing w:before="0"/>
      </w:pPr>
      <w:r>
        <w:rPr>
          <w:w w:val="96"/>
        </w:rPr>
        <w:t xml:space="preserve"> </w:t>
      </w:r>
      <w:r>
        <w:t>安全存储：不适用</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pPr>
      <w:r>
        <w:rPr>
          <w:w w:val="96"/>
        </w:rPr>
        <w:t xml:space="preserve"> </w:t>
      </w:r>
      <w:r>
        <w:t>2.5 健康危害：吞咽有害。造成皮肤刺激。造成严重眼刺激。</w:t>
      </w:r>
    </w:p>
    <w:p>
      <w:pPr>
        <w:pStyle w:val="3"/>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主要成分：碘化钾</w:t>
      </w:r>
      <w:r>
        <w:tab/>
      </w:r>
      <w:r>
        <w:rPr>
          <w:w w:val="95"/>
        </w:rPr>
        <w:t>7681-11-0</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pStyle w:val="3"/>
        <w:spacing w:before="40"/>
      </w:pPr>
      <w:r>
        <w:rPr>
          <w:w w:val="94"/>
        </w:rPr>
        <w:t xml:space="preserve">     </w:t>
      </w:r>
      <w:r>
        <w:t>眼睛接触：用大量水彻底冲洗至少15分钟并请教医生。</w:t>
      </w:r>
    </w:p>
    <w:p>
      <w:pPr>
        <w:spacing w:after="0"/>
        <w:sectPr>
          <w:pgSz w:w="11900" w:h="16840"/>
          <w:pgMar w:top="760" w:right="600" w:bottom="700" w:left="620" w:header="0" w:footer="509" w:gutter="0"/>
          <w:cols w:space="720" w:num="1"/>
        </w:sectPr>
      </w:pPr>
    </w:p>
    <w:p>
      <w:pPr>
        <w:pStyle w:val="3"/>
        <w:spacing w:before="50"/>
      </w:pPr>
      <w:r>
        <w:rPr>
          <w:w w:val="95"/>
        </w:rPr>
        <w:t xml:space="preserve">     </w:t>
      </w:r>
      <w:r>
        <w:t>食入：切勿给失去知觉者从嘴里喂食任何东西。用水漱口。请教医生。</w:t>
      </w:r>
    </w:p>
    <w:p>
      <w:pPr>
        <w:pStyle w:val="3"/>
        <w:spacing w:line="280" w:lineRule="auto"/>
        <w:ind w:right="139"/>
      </w:pPr>
      <w:r>
        <w:rPr>
          <w:w w:val="98"/>
        </w:rPr>
        <w:t xml:space="preserve"> </w:t>
      </w:r>
      <w:r>
        <w:rPr>
          <w:w w:val="95"/>
        </w:rPr>
        <w:t>4.2   主要症状和影响，急性和迟发效应：长期接触碘化物可能在敏感人群产生碘中毒。接触后的症状包括：皮疹、流涕、头痛和黏膜</w:t>
      </w:r>
      <w:r>
        <w:t>刺激。严重的情况下，皮肤出现丘疹、疖子、麻疹、水泡和青紫点。碘化物容易穿过胎盘。甲状腺肿引起呼吸困难导致新生儿死亡也已有报道。已知道碘化物引起药物性发烧，维持时间一般较短。</w:t>
      </w:r>
    </w:p>
    <w:p>
      <w:pPr>
        <w:pStyle w:val="3"/>
        <w:spacing w:before="1"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5.消防措施</w:t>
      </w:r>
    </w:p>
    <w:p>
      <w:pPr>
        <w:pStyle w:val="3"/>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before="40"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line="280" w:lineRule="auto"/>
        <w:ind w:right="214"/>
      </w:pPr>
      <w:r>
        <w:rPr>
          <w:w w:val="98"/>
        </w:rPr>
        <w:t xml:space="preserve"> </w:t>
      </w:r>
      <w:r>
        <w:rPr>
          <w:w w:val="95"/>
        </w:rPr>
        <w:t>6.1   作业人员的防护措施、防护设备和应急处置程序：使用个人防护设备。防止粉尘的生成。防止吸入蒸汽、气雾或气体。保证充分</w:t>
      </w:r>
      <w:r>
        <w:t>的通风。避免吸入粉尘。</w:t>
      </w:r>
    </w:p>
    <w:p>
      <w:pPr>
        <w:pStyle w:val="3"/>
        <w:spacing w:before="1"/>
      </w:pPr>
      <w:r>
        <w:rPr>
          <w:w w:val="95"/>
        </w:rPr>
        <w:t xml:space="preserve"> </w:t>
      </w:r>
      <w:r>
        <w:t>6.2 环境保护措施：不要让产物进入下水道。</w:t>
      </w:r>
    </w:p>
    <w:p>
      <w:pPr>
        <w:pStyle w:val="3"/>
        <w:spacing w:before="0" w:line="270" w:lineRule="atLeast"/>
        <w:ind w:right="214"/>
      </w:pPr>
      <w:r>
        <w:rPr>
          <w:w w:val="98"/>
        </w:rPr>
        <w:t xml:space="preserve"> </w:t>
      </w:r>
      <w:r>
        <w:rPr>
          <w:w w:val="95"/>
        </w:rPr>
        <w:t>6.3   泄露化学品的收容、清除方法及所使用的处置材料：收集、处理泄漏物，不要产生灰尘。扫掉和铲掉。存放进适当的闭口容器中</w:t>
      </w:r>
      <w:r>
        <w:t>待处理。</w:t>
      </w:r>
    </w:p>
    <w:p>
      <w:pPr>
        <w:spacing w:before="0" w:line="56"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7.操作处置与储存</w:t>
      </w:r>
    </w:p>
    <w:p>
      <w:pPr>
        <w:pStyle w:val="3"/>
      </w:pPr>
      <w:r>
        <w:rPr>
          <w:w w:val="97"/>
        </w:rPr>
        <w:t xml:space="preserve"> </w:t>
      </w:r>
      <w:r>
        <w:t>7.1 安全处置注意事项：避免接触皮肤和眼睛。防止粉尘和气溶胶生成。在有粉尘生成的地方,提供合适的排风设备。</w:t>
      </w:r>
    </w:p>
    <w:p>
      <w:pPr>
        <w:pStyle w:val="3"/>
      </w:pPr>
      <w:r>
        <w:rPr>
          <w:w w:val="98"/>
        </w:rPr>
        <w:t xml:space="preserve"> </w:t>
      </w:r>
      <w:r>
        <w:t>7.2 安全储存注意事项：贮存在阴凉处。容器保持紧闭，储存在干燥通风处。对空气、光、和潮气敏感。充气保存</w:t>
      </w:r>
    </w:p>
    <w:p>
      <w:pPr>
        <w:pStyle w:val="3"/>
        <w:spacing w:before="4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pPr>
      <w:r>
        <w:rPr>
          <w:w w:val="106"/>
        </w:rPr>
        <w:t xml:space="preserve"> </w:t>
      </w:r>
      <w:r>
        <w:rPr>
          <w:w w:val="105"/>
        </w:rPr>
        <w:t>TLV-TWA(mg/m3)：无资料</w:t>
      </w:r>
    </w:p>
    <w:p>
      <w:pPr>
        <w:pStyle w:val="3"/>
        <w:spacing w:before="40"/>
      </w:pPr>
      <w:r>
        <w:rPr>
          <w:w w:val="105"/>
        </w:rPr>
        <w:t xml:space="preserve"> PC-TWA(mg/m3)：无资料</w:t>
      </w:r>
    </w:p>
    <w:p>
      <w:pPr>
        <w:pStyle w:val="3"/>
      </w:pPr>
      <w:r>
        <w:rPr>
          <w:w w:val="101"/>
        </w:rPr>
        <w:t xml:space="preserve"> </w:t>
      </w:r>
      <w:r>
        <w:t>TLV-C(mg/m3)：无资料</w:t>
      </w:r>
    </w:p>
    <w:p>
      <w:pPr>
        <w:pStyle w:val="3"/>
      </w:pPr>
      <w:r>
        <w:rPr>
          <w:w w:val="103"/>
        </w:rPr>
        <w:t xml:space="preserve"> </w:t>
      </w:r>
      <w:r>
        <w:rPr>
          <w:w w:val="105"/>
        </w:rPr>
        <w:t>TLV=STEL(mg/m3)：无资料</w:t>
      </w:r>
    </w:p>
    <w:p>
      <w:pPr>
        <w:pStyle w:val="3"/>
        <w:spacing w:before="40"/>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手防护：戴防化学品手套。</w:t>
      </w:r>
    </w:p>
    <w:p>
      <w:pPr>
        <w:pStyle w:val="3"/>
        <w:spacing w:before="40"/>
      </w:pPr>
      <w:r>
        <w:rPr>
          <w:w w:val="91"/>
        </w:rPr>
        <w:t xml:space="preserve">     </w:t>
      </w:r>
      <w:r>
        <w:t>眼睛防护：戴化学安全防护眼镜。</w:t>
      </w:r>
    </w:p>
    <w:p>
      <w:pPr>
        <w:pStyle w:val="3"/>
      </w:pPr>
      <w:r>
        <w:rPr>
          <w:w w:val="92"/>
        </w:rPr>
        <w:t xml:space="preserve">     </w:t>
      </w:r>
      <w:r>
        <w:t>皮肤和身体防护：穿化学品防护服。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spacing w:after="0"/>
        <w:sectPr>
          <w:pgSz w:w="11900" w:h="16840"/>
          <w:pgMar w:top="760" w:right="600" w:bottom="700" w:left="620" w:header="0" w:footer="509" w:gutter="0"/>
          <w:cols w:space="720" w:num="1"/>
        </w:sectPr>
      </w:pPr>
    </w:p>
    <w:p>
      <w:pPr>
        <w:pStyle w:val="3"/>
        <w:spacing w:before="48" w:line="205" w:lineRule="exact"/>
        <w:ind w:left="140"/>
      </w:pPr>
      <w:r>
        <w:t>外观与性状：无色结晶或白色结晶性粉末，无气味，味咸、带苦，微有引湿性</w:t>
      </w:r>
    </w:p>
    <w:p>
      <w:pPr>
        <w:pStyle w:val="3"/>
        <w:spacing w:before="0" w:line="205" w:lineRule="exact"/>
        <w:ind w:left="140"/>
      </w:pPr>
      <w:r>
        <w:t>，对光敏感。</w:t>
      </w:r>
    </w:p>
    <w:p>
      <w:pPr>
        <w:pStyle w:val="3"/>
        <w:spacing w:before="48"/>
        <w:ind w:left="115"/>
      </w:pPr>
      <w:r>
        <w:br w:type="column"/>
      </w:r>
      <w:r>
        <w:t>气味：无气味</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8"/>
        <w:ind w:left="140"/>
      </w:pPr>
      <w:r>
        <w:t>气味阈值：无资料</w:t>
      </w:r>
      <w:r>
        <w:tab/>
      </w:r>
      <w:r>
        <w:t>pH：6-8(50g/L,H2O,20℃)</w:t>
      </w:r>
    </w:p>
    <w:p>
      <w:pPr>
        <w:pStyle w:val="3"/>
        <w:tabs>
          <w:tab w:val="left" w:pos="6415"/>
        </w:tabs>
        <w:spacing w:before="8"/>
        <w:ind w:left="140"/>
      </w:pPr>
      <w:r>
        <w:rPr>
          <w:w w:val="95"/>
        </w:rPr>
        <w:t>熔点/凝固点(℃)：681-723℃</w:t>
      </w:r>
      <w:r>
        <w:rPr>
          <w:w w:val="95"/>
        </w:rPr>
        <w:tab/>
      </w:r>
      <w:r>
        <w:t>沸点、初沸点、沸程(℃)：1325℃/760mmHg</w:t>
      </w:r>
    </w:p>
    <w:p>
      <w:pPr>
        <w:pStyle w:val="3"/>
        <w:tabs>
          <w:tab w:val="left" w:pos="6415"/>
        </w:tabs>
        <w:spacing w:before="8"/>
        <w:ind w:left="140"/>
      </w:pPr>
      <w:r>
        <w:rPr>
          <w:w w:val="95"/>
        </w:rPr>
        <w:t>密度/相对密度(水=1)：ρ(20)3.13g/mL</w:t>
      </w:r>
      <w:r>
        <w:rPr>
          <w:w w:val="95"/>
        </w:rPr>
        <w:tab/>
      </w:r>
      <w:r>
        <w:t>蒸汽密度(空气=1)：无资料</w:t>
      </w:r>
    </w:p>
    <w:p>
      <w:pPr>
        <w:pStyle w:val="3"/>
        <w:tabs>
          <w:tab w:val="left" w:pos="6415"/>
        </w:tabs>
        <w:spacing w:before="7"/>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t>闪点(℃)：NA</w:t>
      </w:r>
    </w:p>
    <w:p>
      <w:pPr>
        <w:pStyle w:val="3"/>
        <w:tabs>
          <w:tab w:val="left" w:pos="6415"/>
        </w:tabs>
        <w:spacing w:before="8"/>
        <w:ind w:left="140"/>
      </w:pPr>
      <w:r>
        <w:t>自燃温度(℃)：无资料</w:t>
      </w:r>
      <w:r>
        <w:tab/>
      </w:r>
      <w:r>
        <w:t>爆炸上限%（V/V）：无资料</w:t>
      </w:r>
    </w:p>
    <w:p>
      <w:pPr>
        <w:spacing w:after="0"/>
        <w:sectPr>
          <w:type w:val="continuous"/>
          <w:pgSz w:w="11900" w:h="16840"/>
          <w:pgMar w:top="1580" w:right="600" w:bottom="1180" w:left="620" w:header="720" w:footer="720" w:gutter="0"/>
          <w:cols w:space="720" w:num="1"/>
        </w:sectPr>
      </w:pPr>
    </w:p>
    <w:p>
      <w:pPr>
        <w:pStyle w:val="3"/>
        <w:spacing w:before="7" w:line="205" w:lineRule="exact"/>
        <w:ind w:left="140"/>
      </w:pPr>
      <w:r>
        <w:t>溶解性：1g溶于0.7mL水、0.5mL沸水、22mL乙醇、8mL沸乙醇、51mL无水乙醇</w:t>
      </w:r>
    </w:p>
    <w:p>
      <w:pPr>
        <w:pStyle w:val="3"/>
        <w:spacing w:before="0" w:line="205" w:lineRule="exact"/>
        <w:ind w:left="140"/>
      </w:pPr>
      <w:r>
        <w:t>、8mL甲醇、7.5mL丙酮、2mL甘油、约2.5mL乙二醇。</w:t>
      </w:r>
    </w:p>
    <w:p>
      <w:pPr>
        <w:pStyle w:val="3"/>
        <w:spacing w:before="7"/>
        <w:ind w:left="91"/>
      </w:pPr>
      <w:r>
        <w:br w:type="column"/>
      </w:r>
      <w:r>
        <w:rPr>
          <w:w w:val="105"/>
        </w:rPr>
        <w:t>爆炸下限%（V/V）：无资料</w:t>
      </w:r>
    </w:p>
    <w:p>
      <w:pPr>
        <w:spacing w:after="0"/>
        <w:sectPr>
          <w:type w:val="continuous"/>
          <w:pgSz w:w="11900" w:h="16840"/>
          <w:pgMar w:top="1580" w:right="600" w:bottom="1180" w:left="620" w:header="720" w:footer="720" w:gutter="0"/>
          <w:cols w:equalWidth="0" w:num="2">
            <w:col w:w="6285" w:space="40"/>
            <w:col w:w="4355"/>
          </w:cols>
        </w:sectPr>
      </w:pPr>
    </w:p>
    <w:p>
      <w:pPr>
        <w:pStyle w:val="3"/>
        <w:tabs>
          <w:tab w:val="left" w:pos="6415"/>
        </w:tabs>
        <w:spacing w:before="8"/>
        <w:ind w:left="140"/>
      </w:pPr>
      <w:r>
        <w:t>易燃性（固体、气体）：无资料</w:t>
      </w:r>
      <w:r>
        <w:tab/>
      </w:r>
      <w:r>
        <w:t>蒸发速率：无资料</w:t>
      </w:r>
    </w:p>
    <w:p>
      <w:pPr>
        <w:pStyle w:val="3"/>
        <w:spacing w:before="170"/>
      </w:pPr>
      <w:r>
        <w:rPr>
          <w:w w:val="95"/>
        </w:rPr>
        <w:t>10.稳定性和反应性</w:t>
      </w:r>
    </w:p>
    <w:p>
      <w:pPr>
        <w:pStyle w:val="3"/>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2"/>
        </w:rPr>
        <w:t xml:space="preserve"> </w:t>
      </w:r>
      <w:r>
        <w:t>10.3 应避免的条件：无资料</w:t>
      </w:r>
    </w:p>
    <w:p>
      <w:pPr>
        <w:pStyle w:val="3"/>
      </w:pPr>
      <w:r>
        <w:rPr>
          <w:w w:val="91"/>
        </w:rPr>
        <w:t xml:space="preserve"> </w:t>
      </w:r>
      <w:r>
        <w:t>10.4 不相容物质：强还原剂,镍,强酸,和它的合金,钢(各种型号和表面处理的),铝,碱金属,黄铜,镁,锌,镉,铜</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type w:val="continuous"/>
          <w:pgSz w:w="11900" w:h="16840"/>
          <w:pgMar w:top="1580" w:right="600" w:bottom="1180" w:left="620" w:header="720" w:footer="720" w:gutter="0"/>
          <w:cols w:space="720" w:num="1"/>
        </w:sectPr>
      </w:pPr>
    </w:p>
    <w:p>
      <w:pPr>
        <w:pStyle w:val="3"/>
        <w:spacing w:before="50"/>
        <w:jc w:val="both"/>
      </w:pPr>
      <w:r>
        <w:t>11.毒理学信息</w:t>
      </w:r>
    </w:p>
    <w:p>
      <w:pPr>
        <w:pStyle w:val="3"/>
        <w:jc w:val="both"/>
      </w:pPr>
      <w:r>
        <w:rPr>
          <w:w w:val="91"/>
        </w:rPr>
        <w:t xml:space="preserve"> </w:t>
      </w:r>
      <w:r>
        <w:t>11.1 急性毒性：无资料</w:t>
      </w:r>
    </w:p>
    <w:p>
      <w:pPr>
        <w:pStyle w:val="3"/>
        <w:jc w:val="both"/>
      </w:pPr>
      <w:r>
        <w:rPr>
          <w:w w:val="93"/>
        </w:rPr>
        <w:t xml:space="preserve"> </w:t>
      </w:r>
      <w:r>
        <w:rPr>
          <w:w w:val="95"/>
        </w:rPr>
        <w:t>11.2</w:t>
      </w:r>
      <w:r>
        <w:rPr>
          <w:spacing w:val="-7"/>
          <w:w w:val="95"/>
        </w:rPr>
        <w:t xml:space="preserve"> 皮肤刺激或腐蚀：无资料</w:t>
      </w:r>
    </w:p>
    <w:p>
      <w:pPr>
        <w:pStyle w:val="3"/>
        <w:spacing w:before="40"/>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spacing w:before="40"/>
        <w:jc w:val="both"/>
      </w:pPr>
      <w:r>
        <w:rPr>
          <w:w w:val="93"/>
        </w:rPr>
        <w:t xml:space="preserve"> </w:t>
      </w:r>
      <w:r>
        <w:rPr>
          <w:w w:val="95"/>
        </w:rPr>
        <w:t>11.5</w:t>
      </w:r>
      <w:r>
        <w:rPr>
          <w:spacing w:val="-7"/>
          <w:w w:val="95"/>
        </w:rPr>
        <w:t xml:space="preserve"> 生殖细胞突变性：无资料</w:t>
      </w:r>
    </w:p>
    <w:p>
      <w:pPr>
        <w:pStyle w:val="3"/>
        <w:jc w:val="both"/>
      </w:pPr>
      <w:r>
        <w:rPr>
          <w:w w:val="90"/>
        </w:rPr>
        <w:t xml:space="preserve"> </w:t>
      </w:r>
      <w:r>
        <w:t>11.6 致癌性：无资料</w:t>
      </w:r>
    </w:p>
    <w:p>
      <w:pPr>
        <w:pStyle w:val="3"/>
        <w:jc w:val="both"/>
      </w:pPr>
      <w:r>
        <w:rPr>
          <w:w w:val="91"/>
        </w:rPr>
        <w:t xml:space="preserve"> </w:t>
      </w:r>
      <w:r>
        <w:t>11.7 生殖毒性：无资料</w:t>
      </w:r>
    </w:p>
    <w:p>
      <w:pPr>
        <w:pStyle w:val="3"/>
        <w:spacing w:before="40"/>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spacing w:before="40"/>
        <w:jc w:val="both"/>
      </w:pPr>
      <w:r>
        <w:rPr>
          <w:w w:val="91"/>
        </w:rPr>
        <w:t xml:space="preserve"> </w:t>
      </w:r>
      <w:r>
        <w:rPr>
          <w:w w:val="90"/>
        </w:rPr>
        <w:t>11.11 潜在的健康危险：</w:t>
      </w:r>
    </w:p>
    <w:p>
      <w:pPr>
        <w:pStyle w:val="3"/>
        <w:jc w:val="both"/>
      </w:pPr>
      <w:r>
        <w:rPr>
          <w:w w:val="98"/>
        </w:rPr>
        <w:t xml:space="preserve"> </w:t>
      </w:r>
      <w:r>
        <w:t>吸入：吸入可能有害。可能引起呼吸道刺激。</w:t>
      </w:r>
    </w:p>
    <w:p>
      <w:pPr>
        <w:pStyle w:val="3"/>
        <w:spacing w:before="40"/>
        <w:jc w:val="both"/>
      </w:pPr>
      <w:r>
        <w:rPr>
          <w:w w:val="97"/>
        </w:rPr>
        <w:t xml:space="preserve"> </w:t>
      </w:r>
      <w:r>
        <w:t>摄入：吞咽可能有害。</w:t>
      </w:r>
    </w:p>
    <w:p>
      <w:pPr>
        <w:pStyle w:val="3"/>
        <w:jc w:val="both"/>
      </w:pPr>
      <w:r>
        <w:rPr>
          <w:w w:val="98"/>
        </w:rPr>
        <w:t xml:space="preserve"> </w:t>
      </w:r>
      <w:r>
        <w:t>皮肤：通过皮肤吸收可能有害。可能引起皮肤刺激。</w:t>
      </w:r>
    </w:p>
    <w:p>
      <w:pPr>
        <w:pStyle w:val="3"/>
        <w:spacing w:line="220" w:lineRule="exact"/>
        <w:jc w:val="both"/>
      </w:pPr>
      <w:r>
        <w:rPr>
          <w:w w:val="97"/>
        </w:rPr>
        <w:t xml:space="preserve"> </w:t>
      </w:r>
      <w:r>
        <w:t>眼睛：可能引起眼睛刺激。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spacing w:before="40"/>
        <w:jc w:val="both"/>
      </w:pPr>
      <w:r>
        <w:rPr>
          <w:w w:val="91"/>
        </w:rPr>
        <w:t xml:space="preserve"> </w:t>
      </w:r>
      <w:r>
        <w:t>12.1 生态毒性：无资料</w:t>
      </w:r>
    </w:p>
    <w:p>
      <w:pPr>
        <w:pStyle w:val="3"/>
        <w:jc w:val="both"/>
      </w:pPr>
      <w:r>
        <w:rPr>
          <w:w w:val="93"/>
        </w:rPr>
        <w:t xml:space="preserve"> </w:t>
      </w:r>
      <w:r>
        <w:t>12.2 持久性和降解性：无资料</w:t>
      </w:r>
    </w:p>
    <w:p>
      <w:pPr>
        <w:pStyle w:val="3"/>
        <w:spacing w:before="4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spacing w:before="40" w:line="280" w:lineRule="auto"/>
        <w:ind w:right="131"/>
      </w:pPr>
      <w:r>
        <w:rPr>
          <w:w w:val="98"/>
        </w:rPr>
        <w:t xml:space="preserve"> </w:t>
      </w:r>
      <w:r>
        <w:rPr>
          <w:w w:val="95"/>
        </w:rPr>
        <w:t>13.1   残余废弃物处置方法：将剩余的和未回收的溶液交给处理公司。与易燃溶剂相溶或者相混合，在备有燃烧后处理和洗刷作用的化</w:t>
      </w:r>
      <w:r>
        <w:t>学焚化炉中燃烧</w:t>
      </w:r>
    </w:p>
    <w:p>
      <w:pPr>
        <w:pStyle w:val="3"/>
        <w:spacing w:before="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spacing w:before="40"/>
        <w:jc w:val="both"/>
      </w:pPr>
      <w:r>
        <w:rPr>
          <w:w w:val="104"/>
        </w:rPr>
        <w:t xml:space="preserve">  </w:t>
      </w:r>
      <w:r>
        <w:rPr>
          <w:w w:val="105"/>
        </w:rPr>
        <w:t>危规号CN：NA</w:t>
      </w:r>
    </w:p>
    <w:p>
      <w:pPr>
        <w:pStyle w:val="3"/>
        <w:jc w:val="both"/>
      </w:pPr>
      <w:r>
        <w:rPr>
          <w:w w:val="98"/>
        </w:rPr>
        <w:t xml:space="preserve">  </w:t>
      </w:r>
      <w:r>
        <w:t>联合国危险货物编号：NA</w:t>
      </w:r>
    </w:p>
    <w:p>
      <w:pPr>
        <w:pStyle w:val="3"/>
        <w:spacing w:before="40"/>
        <w:jc w:val="both"/>
      </w:pPr>
      <w:r>
        <w:rPr>
          <w:w w:val="95"/>
        </w:rPr>
        <w:t xml:space="preserve">  </w:t>
      </w:r>
      <w:r>
        <w:t>联合国运输名称：非危险货物</w:t>
      </w:r>
    </w:p>
    <w:p>
      <w:pPr>
        <w:pStyle w:val="3"/>
        <w:jc w:val="both"/>
      </w:pPr>
      <w:r>
        <w:rPr>
          <w:w w:val="98"/>
        </w:rPr>
        <w:t xml:space="preserve">  </w:t>
      </w:r>
      <w:r>
        <w:t>联合国危险性分类：NA</w:t>
      </w:r>
    </w:p>
    <w:p>
      <w:pPr>
        <w:pStyle w:val="3"/>
        <w:jc w:val="both"/>
      </w:pPr>
      <w:r>
        <w:rPr>
          <w:w w:val="92"/>
        </w:rPr>
        <w:t xml:space="preserve">  </w:t>
      </w:r>
      <w:r>
        <w:t>包装组：无资料</w:t>
      </w:r>
    </w:p>
    <w:p>
      <w:pPr>
        <w:pStyle w:val="3"/>
        <w:spacing w:before="40"/>
        <w:jc w:val="both"/>
      </w:pPr>
      <w:r>
        <w:rPr>
          <w:w w:val="93"/>
        </w:rPr>
        <w:t xml:space="preserve">  </w:t>
      </w:r>
      <w:r>
        <w:t>包装方法：无资料</w:t>
      </w:r>
    </w:p>
    <w:p>
      <w:pPr>
        <w:pStyle w:val="3"/>
        <w:jc w:val="both"/>
      </w:pPr>
      <w:r>
        <w:rPr>
          <w:w w:val="93"/>
        </w:rPr>
        <w:t xml:space="preserve">  </w:t>
      </w:r>
      <w:r>
        <w:t>海洋污染物（是/否）：否</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1"/>
        <w:jc w:val="both"/>
      </w:pPr>
      <w:r>
        <w:t>15.法规信息</w:t>
      </w:r>
    </w:p>
    <w:p>
      <w:pPr>
        <w:pStyle w:val="3"/>
        <w:jc w:val="both"/>
      </w:pPr>
      <w:r>
        <w:t>下列法律法规和标准，对化学品的安全使用、储存、运输、装卸、分类和标志等方面均作了相应的规定：</w:t>
      </w:r>
    </w:p>
    <w:p>
      <w:pPr>
        <w:pStyle w:val="3"/>
        <w:jc w:val="both"/>
      </w:pPr>
      <w:r>
        <w:rPr>
          <w:w w:val="88"/>
        </w:rPr>
        <w:t xml:space="preserve">        </w:t>
      </w:r>
      <w:r>
        <w:t>《危险化学品名录》（2015版）：未列入</w:t>
      </w:r>
    </w:p>
    <w:p>
      <w:pPr>
        <w:pStyle w:val="3"/>
        <w:spacing w:before="40"/>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before="40"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rPr>
          <w:color w:val="auto"/>
        </w:rPr>
      </w:pPr>
      <w:r>
        <w:rPr>
          <w:color w:val="auto"/>
        </w:rPr>
        <w:t>16.其他信息</w:t>
      </w:r>
    </w:p>
    <w:p>
      <w:pPr>
        <w:pStyle w:val="3"/>
        <w:jc w:val="both"/>
        <w:rPr>
          <w:color w:val="auto"/>
        </w:rPr>
      </w:pPr>
      <w:r>
        <w:rPr>
          <w:color w:val="auto"/>
          <w:w w:val="94"/>
        </w:rPr>
        <w:t xml:space="preserve">  </w:t>
      </w:r>
      <w:r>
        <w:rPr>
          <w:color w:val="auto"/>
          <w:spacing w:val="-4"/>
        </w:rPr>
        <w:t>编注标准：《化学品安全技术说明书 内容和项目顺序》</w:t>
      </w:r>
      <w:r>
        <w:rPr>
          <w:color w:val="auto"/>
        </w:rPr>
        <w:t>（GB/T</w:t>
      </w:r>
      <w:r>
        <w:rPr>
          <w:color w:val="auto"/>
          <w:spacing w:val="-58"/>
        </w:rPr>
        <w:t xml:space="preserve"> </w:t>
      </w:r>
      <w:r>
        <w:rPr>
          <w:color w:val="auto"/>
        </w:rPr>
        <w:t>16483-2008）</w:t>
      </w:r>
      <w:r>
        <w:rPr>
          <w:color w:val="auto"/>
          <w:spacing w:val="-5"/>
        </w:rPr>
        <w:t xml:space="preserve"> 《化学品分类和危险性公示 通则》</w:t>
      </w:r>
      <w:r>
        <w:rPr>
          <w:color w:val="auto"/>
        </w:rPr>
        <w:t>（GB</w:t>
      </w:r>
      <w:r>
        <w:rPr>
          <w:color w:val="auto"/>
          <w:spacing w:val="-58"/>
        </w:rPr>
        <w:t xml:space="preserve"> </w:t>
      </w:r>
      <w:r>
        <w:rPr>
          <w:color w:val="auto"/>
        </w:rPr>
        <w:t>13690-2009）</w:t>
      </w:r>
    </w:p>
    <w:p>
      <w:pPr>
        <w:pStyle w:val="3"/>
        <w:spacing w:before="40" w:line="280" w:lineRule="auto"/>
        <w:ind w:right="182"/>
        <w:rPr>
          <w:color w:val="auto"/>
        </w:rPr>
      </w:pPr>
      <w:r>
        <w:rPr>
          <w:color w:val="auto"/>
          <w:w w:val="101"/>
        </w:rPr>
        <w:t xml:space="preserve">  </w:t>
      </w:r>
      <w:r>
        <w:rPr>
          <w:color w:val="auto"/>
        </w:rP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rPr>
          <w:color w:val="auto"/>
        </w:rPr>
      </w:pPr>
      <w:r>
        <w:rPr>
          <w:color w:val="auto"/>
          <w:w w:val="97"/>
        </w:rPr>
        <w:t xml:space="preserve">  </w:t>
      </w:r>
      <w:r>
        <w:rPr>
          <w:color w:val="auto"/>
        </w:rPr>
        <w:t>编制部门：国药集团化学试剂有限公司——质量管理部</w:t>
      </w:r>
    </w:p>
    <w:p>
      <w:pPr>
        <w:pStyle w:val="3"/>
        <w:rPr>
          <w:color w:val="auto"/>
        </w:rPr>
      </w:pPr>
      <w:r>
        <w:rPr>
          <w:color w:val="auto"/>
          <w:w w:val="97"/>
        </w:rPr>
        <w:t xml:space="preserve">  </w:t>
      </w:r>
      <w:r>
        <w:rPr>
          <w:color w:val="auto"/>
        </w:rPr>
        <w:t>修改说明：每5年修订一次或有国家新的相关法律法规出台时</w:t>
      </w:r>
    </w:p>
    <w:p>
      <w:pPr>
        <w:pStyle w:val="3"/>
        <w:spacing w:before="40" w:line="280" w:lineRule="auto"/>
        <w:ind w:right="186"/>
        <w:jc w:val="both"/>
        <w:rPr>
          <w:color w:val="auto"/>
        </w:rPr>
      </w:pPr>
      <w:r>
        <w:rPr>
          <w:color w:val="auto"/>
          <w:w w:val="98"/>
        </w:rPr>
        <w:t xml:space="preserve">  </w:t>
      </w:r>
      <w:r>
        <w:rPr>
          <w:color w:val="auto"/>
          <w:w w:val="95"/>
        </w:rPr>
        <w:t xml:space="preserve">免责说明：上述信息视为正确，但不包含所有的信息，仅作为指引使用。本文件中的信息是基于我们目前所知，就正确的安全提示    </w:t>
      </w:r>
      <w:r>
        <w:rPr>
          <w:color w:val="auto"/>
        </w:rPr>
        <w:t>来说适用于本品。该信息不代表对此产品性质的保证。本CSDS只为那些受过适当专业训练使用该产品的有关人员提供对该产品的的安全预防资料。获取CSDS的使用者，在特殊的使用条件下，必须对本CSDS</w:t>
      </w:r>
      <w:r>
        <w:rPr>
          <w:color w:val="auto"/>
          <w:spacing w:val="-1"/>
        </w:rPr>
        <w:t>的适用性作出独立的判断，对特殊的使用场合下，由于使</w:t>
      </w:r>
      <w:r>
        <w:rPr>
          <w:color w:val="auto"/>
        </w:rP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22822D84"/>
    <w:rsid w:val="16047413"/>
    <w:rsid w:val="22822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2023-11-02T09:37:00Z</dcterms:created>
  <dc:creator>刘文丹。</dc:creator>
  <cp:lastModifiedBy>刘文丹。</cp:lastModifiedBy>
  <dcterms:modified xsi:type="dcterms:W3CDTF">2023-11-02T09:37:39Z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ECBFA10EDBC1444D989067023261AE05_11</vt:lpwstr>
  </property>
</Properties>
</file>