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r>
        <w:t>藏红 T</w:t>
      </w:r>
      <w:r>
        <w:rPr>
          <w:rFonts w:hint="eastAsia"/>
          <w:lang w:eastAsia="zh-CN"/>
        </w:rPr>
        <w:t>安全说明书</w:t>
      </w:r>
    </w:p>
    <w:bookmarkEnd w:id="0"/>
    <w:p>
      <w:pPr>
        <w:pStyle w:val="3"/>
        <w:spacing w:before="0" w:line="280" w:lineRule="auto"/>
        <w:ind w:right="9013"/>
      </w:pPr>
      <w:r>
        <w:rPr>
          <w:w w:val="95"/>
        </w:rPr>
        <w:t>1.化学品及企业标识</w:t>
      </w:r>
      <w:r>
        <w:t>中文名：藏红 T</w:t>
      </w:r>
    </w:p>
    <w:p>
      <w:pPr>
        <w:pStyle w:val="3"/>
        <w:spacing w:before="0"/>
      </w:pPr>
      <w:r>
        <w:t>英文名：Safranine T</w:t>
      </w:r>
    </w:p>
    <w:p>
      <w:pPr>
        <w:pStyle w:val="3"/>
        <w:spacing w:before="40" w:line="280" w:lineRule="auto"/>
        <w:ind w:right="250"/>
      </w:pPr>
      <w:r>
        <w:rPr>
          <w:spacing w:val="-3"/>
        </w:rPr>
        <w:t xml:space="preserve">中文别名：藏红 </w:t>
      </w:r>
      <w:r>
        <w:t>T；</w:t>
      </w:r>
      <w:r>
        <w:rPr>
          <w:spacing w:val="-5"/>
        </w:rPr>
        <w:t xml:space="preserve">碱性红 </w:t>
      </w:r>
      <w:r>
        <w:t>2；</w:t>
      </w:r>
      <w:r>
        <w:rPr>
          <w:spacing w:val="-3"/>
        </w:rPr>
        <w:t xml:space="preserve">棉红；番红 </w:t>
      </w:r>
      <w:r>
        <w:t>O；</w:t>
      </w:r>
      <w:r>
        <w:rPr>
          <w:spacing w:val="-6"/>
        </w:rPr>
        <w:t xml:space="preserve">沙红 </w:t>
      </w:r>
      <w:r>
        <w:t>O；</w:t>
      </w:r>
      <w:r>
        <w:rPr>
          <w:spacing w:val="-6"/>
        </w:rPr>
        <w:t xml:space="preserve">番红 </w:t>
      </w:r>
      <w:r>
        <w:t>T；番红Y或A；</w:t>
      </w:r>
      <w:r>
        <w:rPr>
          <w:spacing w:val="-2"/>
        </w:rPr>
        <w:t xml:space="preserve">碱性藏红花；番红花红 </w:t>
      </w:r>
      <w:r>
        <w:t>T；</w:t>
      </w:r>
      <w:r>
        <w:rPr>
          <w:spacing w:val="-2"/>
        </w:rPr>
        <w:t>蓝光藏红花；盐基桃红；沙</w:t>
      </w:r>
      <w:r>
        <w:t>黄</w:t>
      </w:r>
    </w:p>
    <w:p>
      <w:pPr>
        <w:pStyle w:val="3"/>
        <w:spacing w:before="0" w:line="280" w:lineRule="auto"/>
        <w:ind w:right="958"/>
      </w:pPr>
      <w:r>
        <w:rPr>
          <w:w w:val="85"/>
        </w:rPr>
        <w:t>英文别名：Safranine</w:t>
      </w:r>
      <w:r>
        <w:rPr>
          <w:spacing w:val="-13"/>
          <w:w w:val="85"/>
        </w:rPr>
        <w:t xml:space="preserve"> </w:t>
      </w:r>
      <w:r>
        <w:rPr>
          <w:w w:val="85"/>
        </w:rPr>
        <w:t>T;Basic</w:t>
      </w:r>
      <w:r>
        <w:rPr>
          <w:spacing w:val="-12"/>
          <w:w w:val="85"/>
        </w:rPr>
        <w:t xml:space="preserve"> </w:t>
      </w:r>
      <w:r>
        <w:rPr>
          <w:w w:val="85"/>
        </w:rPr>
        <w:t>Red</w:t>
      </w:r>
      <w:r>
        <w:rPr>
          <w:spacing w:val="-12"/>
          <w:w w:val="85"/>
        </w:rPr>
        <w:t xml:space="preserve"> </w:t>
      </w:r>
      <w:r>
        <w:rPr>
          <w:w w:val="85"/>
        </w:rPr>
        <w:t>2;Cotton</w:t>
      </w:r>
      <w:r>
        <w:rPr>
          <w:spacing w:val="-13"/>
          <w:w w:val="85"/>
        </w:rPr>
        <w:t xml:space="preserve"> </w:t>
      </w:r>
      <w:r>
        <w:rPr>
          <w:w w:val="85"/>
        </w:rPr>
        <w:t>Red;Safranin</w:t>
      </w:r>
      <w:r>
        <w:rPr>
          <w:spacing w:val="-12"/>
          <w:w w:val="85"/>
        </w:rPr>
        <w:t xml:space="preserve"> </w:t>
      </w:r>
      <w:r>
        <w:rPr>
          <w:w w:val="85"/>
        </w:rPr>
        <w:t>O;Safranin</w:t>
      </w:r>
      <w:r>
        <w:rPr>
          <w:spacing w:val="-12"/>
          <w:w w:val="85"/>
        </w:rPr>
        <w:t xml:space="preserve"> </w:t>
      </w:r>
      <w:r>
        <w:rPr>
          <w:w w:val="85"/>
        </w:rPr>
        <w:t>T;Safranin</w:t>
      </w:r>
      <w:r>
        <w:rPr>
          <w:spacing w:val="-13"/>
          <w:w w:val="85"/>
        </w:rPr>
        <w:t xml:space="preserve"> </w:t>
      </w:r>
      <w:r>
        <w:rPr>
          <w:w w:val="85"/>
        </w:rPr>
        <w:t>Y</w:t>
      </w:r>
      <w:r>
        <w:rPr>
          <w:spacing w:val="-12"/>
          <w:w w:val="85"/>
        </w:rPr>
        <w:t xml:space="preserve"> </w:t>
      </w:r>
      <w:r>
        <w:rPr>
          <w:w w:val="85"/>
        </w:rPr>
        <w:t>or</w:t>
      </w:r>
      <w:r>
        <w:rPr>
          <w:spacing w:val="-12"/>
          <w:w w:val="85"/>
        </w:rPr>
        <w:t xml:space="preserve"> </w:t>
      </w:r>
      <w:r>
        <w:rPr>
          <w:w w:val="85"/>
        </w:rPr>
        <w:t xml:space="preserve">A;3,7-Diamino-2,8-dimethyl-5-phenylphenazinium </w:t>
      </w:r>
      <w:r>
        <w:t>推荐用途：实验室用化验、试验及科学实验。</w:t>
      </w:r>
    </w:p>
    <w:p>
      <w:pPr>
        <w:pStyle w:val="3"/>
        <w:spacing w:before="0"/>
      </w:pPr>
      <w:r>
        <w:t>限制用途：不可作为药品、食品、家庭或其它用途</w:t>
      </w:r>
    </w:p>
    <w:p>
      <w:pPr>
        <w:pStyle w:val="3"/>
        <w:spacing w:before="40"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CSDS477-73-6 藏红 T</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214"/>
      </w:pPr>
      <w:r>
        <w:rPr>
          <w:w w:val="98"/>
        </w:rPr>
        <w:t xml:space="preserve"> </w:t>
      </w:r>
      <w:r>
        <w:rPr>
          <w:w w:val="95"/>
        </w:rPr>
        <w:t>2.1   紧急情况概述：深红色固体。造成严重眼损伤。过量接触需采取特殊急救措施和进行医疗随访。用水雾、耐醇泡沫、干粉或二氧</w:t>
      </w:r>
      <w:r>
        <w:t>化碳灭火。如必要的话,戴自给式呼吸器去救火。</w:t>
      </w:r>
    </w:p>
    <w:p>
      <w:pPr>
        <w:pStyle w:val="3"/>
        <w:spacing w:before="0"/>
      </w:pPr>
      <w:r>
        <w:rPr>
          <w:w w:val="97"/>
        </w:rPr>
        <w:t xml:space="preserve"> </w:t>
      </w:r>
      <w:r>
        <w:t>2.2 GHS危险性分类：严重眼睛损伤（类别1）</w:t>
      </w:r>
    </w:p>
    <w:p>
      <w:pPr>
        <w:pStyle w:val="3"/>
        <w:spacing w:before="40"/>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464185</wp:posOffset>
            </wp:positionH>
            <wp:positionV relativeFrom="paragraph">
              <wp:posOffset>189865</wp:posOffset>
            </wp:positionV>
            <wp:extent cx="754380" cy="762000"/>
            <wp:effectExtent l="0" t="0" r="7620" b="0"/>
            <wp:wrapTopAndBottom/>
            <wp:docPr id="2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jpeg"/>
                    <pic:cNvPicPr>
                      <a:picLocks noChangeAspect="1"/>
                    </pic:cNvPicPr>
                  </pic:nvPicPr>
                  <pic:blipFill>
                    <a:blip r:embed="rId6" cstate="print"/>
                    <a:stretch>
                      <a:fillRect/>
                    </a:stretch>
                  </pic:blipFill>
                  <pic:spPr>
                    <a:xfrm>
                      <a:off x="0" y="0"/>
                      <a:ext cx="75438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pPr>
      <w:r>
        <w:rPr>
          <w:w w:val="97"/>
        </w:rPr>
        <w:t xml:space="preserve"> </w:t>
      </w:r>
      <w:r>
        <w:t>危险信息：造成严重眼损伤。</w:t>
      </w:r>
    </w:p>
    <w:p>
      <w:pPr>
        <w:pStyle w:val="3"/>
      </w:pPr>
      <w:r>
        <w:rPr>
          <w:w w:val="97"/>
        </w:rPr>
        <w:t xml:space="preserve"> </w:t>
      </w:r>
      <w:r>
        <w:t>预防措施：穿戴防护手套/眼保护罩/面部保护罩。</w:t>
      </w:r>
    </w:p>
    <w:p>
      <w:pPr>
        <w:pStyle w:val="3"/>
        <w:spacing w:before="40" w:line="280" w:lineRule="auto"/>
        <w:ind w:right="280"/>
      </w:pPr>
      <w:r>
        <w:rPr>
          <w:w w:val="99"/>
        </w:rPr>
        <w:t xml:space="preserve"> </w:t>
      </w:r>
      <w:r>
        <w:rPr>
          <w:spacing w:val="-1"/>
          <w:w w:val="95"/>
        </w:rPr>
        <w:t xml:space="preserve">事故响应：如与眼睛接触，用水缓慢温和地冲洗几分钟。如戴隐形眼镜并可方便地取出，取出隐形眼镜，然后继续冲洗。立即呼叫     </w:t>
      </w:r>
      <w:r>
        <w:t>中毒控制中心或医生。</w:t>
      </w:r>
    </w:p>
    <w:p>
      <w:pPr>
        <w:pStyle w:val="3"/>
        <w:spacing w:before="0"/>
      </w:pPr>
      <w:r>
        <w:rPr>
          <w:w w:val="96"/>
        </w:rPr>
        <w:t xml:space="preserve"> </w:t>
      </w:r>
      <w:r>
        <w:rPr>
          <w:w w:val="95"/>
        </w:rPr>
        <w:t>安全存储：不适用</w:t>
      </w:r>
    </w:p>
    <w:p>
      <w:pPr>
        <w:pStyle w:val="3"/>
        <w:spacing w:before="40"/>
      </w:pPr>
      <w:r>
        <w:rPr>
          <w:w w:val="96"/>
        </w:rPr>
        <w:t xml:space="preserve"> </w:t>
      </w:r>
      <w:r>
        <w:rPr>
          <w:w w:val="95"/>
        </w:rPr>
        <w:t>废弃处置：不适用</w:t>
      </w:r>
    </w:p>
    <w:p>
      <w:pPr>
        <w:pStyle w:val="3"/>
      </w:pPr>
      <w:r>
        <w:rPr>
          <w:w w:val="94"/>
        </w:rPr>
        <w:t xml:space="preserve"> </w:t>
      </w:r>
      <w:r>
        <w:rPr>
          <w:w w:val="95"/>
        </w:rPr>
        <w:t>2.4</w:t>
      </w:r>
      <w:r>
        <w:rPr>
          <w:spacing w:val="-5"/>
          <w:w w:val="95"/>
        </w:rPr>
        <w:t xml:space="preserve"> 物理化学危险性信息：不适用</w:t>
      </w:r>
    </w:p>
    <w:p>
      <w:pPr>
        <w:pStyle w:val="3"/>
      </w:pPr>
      <w:r>
        <w:rPr>
          <w:w w:val="94"/>
        </w:rPr>
        <w:t xml:space="preserve"> </w:t>
      </w:r>
      <w:r>
        <w:rPr>
          <w:w w:val="95"/>
        </w:rPr>
        <w:t>2.5</w:t>
      </w:r>
      <w:r>
        <w:rPr>
          <w:spacing w:val="-5"/>
          <w:w w:val="95"/>
        </w:rPr>
        <w:t xml:space="preserve"> 健康危害：造成严重眼损伤。</w:t>
      </w:r>
    </w:p>
    <w:p>
      <w:pPr>
        <w:pStyle w:val="3"/>
        <w:spacing w:before="40"/>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主要成分：藏红T</w:t>
      </w:r>
      <w:r>
        <w:tab/>
      </w:r>
      <w:r>
        <w:rPr>
          <w:w w:val="95"/>
        </w:rPr>
        <w:t>477-73-6</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spacing w:after="0"/>
        <w:sectPr>
          <w:pgSz w:w="11900" w:h="16840"/>
          <w:pgMar w:top="760" w:right="600" w:bottom="700" w:left="620" w:header="0" w:footer="509" w:gutter="0"/>
          <w:cols w:space="720" w:num="1"/>
        </w:sectPr>
      </w:pPr>
    </w:p>
    <w:p>
      <w:pPr>
        <w:pStyle w:val="3"/>
        <w:spacing w:before="50"/>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6"/>
        </w:rPr>
        <w:t xml:space="preserve"> </w:t>
      </w:r>
      <w:r>
        <w:t>5.2 灭火方法或灭火剂：用水雾、耐醇泡沫、干粉或二氧化碳灭火。</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1"/>
      </w:pPr>
      <w:r>
        <w:rPr>
          <w:w w:val="97"/>
        </w:rPr>
        <w:t xml:space="preserve"> </w:t>
      </w:r>
      <w:r>
        <w:t>7.2 安全储存注意事项：贮存在阴凉处。容器保持紧闭，储存在干燥通风处。</w:t>
      </w:r>
    </w:p>
    <w:p>
      <w:pPr>
        <w:pStyle w:val="3"/>
        <w:spacing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手防护：戴防化学品手套。</w:t>
      </w:r>
    </w:p>
    <w:p>
      <w:pPr>
        <w:pStyle w:val="3"/>
      </w:pPr>
      <w:r>
        <w:rPr>
          <w:w w:val="91"/>
        </w:rPr>
        <w:t xml:space="preserve">     </w:t>
      </w:r>
      <w:r>
        <w:t>眼睛防护：戴化学安全防护眼镜。</w:t>
      </w:r>
    </w:p>
    <w:p>
      <w:pPr>
        <w:pStyle w:val="3"/>
      </w:pPr>
      <w:r>
        <w:rPr>
          <w:w w:val="92"/>
        </w:rPr>
        <w:t xml:space="preserve">     </w:t>
      </w:r>
      <w:r>
        <w:t>皮肤和身体防护：穿化学品防护服。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外观与性状：绿色、红棕色至黑色粉末。</w:t>
      </w:r>
      <w:r>
        <w:tab/>
      </w:r>
      <w:r>
        <w:t>气味：无资料</w:t>
      </w:r>
    </w:p>
    <w:p>
      <w:pPr>
        <w:pStyle w:val="3"/>
        <w:tabs>
          <w:tab w:val="left" w:pos="6415"/>
        </w:tabs>
        <w:spacing w:before="7"/>
        <w:ind w:left="140"/>
      </w:pPr>
      <w:r>
        <w:t>气味阈值：无资料</w:t>
      </w:r>
      <w:r>
        <w:tab/>
      </w:r>
      <w:r>
        <w:t>pH：10(10g/L,H2O,20℃)</w:t>
      </w:r>
    </w:p>
    <w:p>
      <w:pPr>
        <w:pStyle w:val="3"/>
        <w:tabs>
          <w:tab w:val="left" w:pos="6415"/>
        </w:tabs>
        <w:spacing w:before="8"/>
        <w:ind w:left="140"/>
      </w:pPr>
      <w:r>
        <w:t>熔点/凝固点(℃)：无资料</w:t>
      </w:r>
      <w: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spacing w:after="0"/>
        <w:sectPr>
          <w:pgSz w:w="11900" w:h="16840"/>
          <w:pgMar w:top="760" w:right="600" w:bottom="700" w:left="620" w:header="0" w:footer="509" w:gutter="0"/>
          <w:cols w:space="720" w:num="1"/>
        </w:sectPr>
      </w:pPr>
    </w:p>
    <w:p>
      <w:pPr>
        <w:pStyle w:val="3"/>
        <w:spacing w:before="47" w:line="187" w:lineRule="auto"/>
        <w:ind w:left="140"/>
        <w:jc w:val="both"/>
      </w:pPr>
      <w:r>
        <w:t>溶解性：易溶于水成红色溶液，溶于乙醇红色带黄色荧光；对盐酸为蓝红色溶液，过多则呈紫色，大量过多则转为蓝色；对氢氧化钠则生成棕红色沉淀；对硫酸则为绿色溶液，稀释时先变成蓝色，渐变成紫色，最后变成红色。</w:t>
      </w:r>
    </w:p>
    <w:p>
      <w:pPr>
        <w:pStyle w:val="3"/>
        <w:spacing w:before="8"/>
        <w:ind w:left="115"/>
      </w:pPr>
      <w:r>
        <w:br w:type="column"/>
      </w:r>
      <w:r>
        <w:rPr>
          <w:w w:val="105"/>
        </w:rPr>
        <w:t>爆炸下限%（V/V）：无资料</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20"/>
        <w:ind w:left="140"/>
      </w:pPr>
      <w:r>
        <w:t>易燃性（固体、气体）：无资料</w:t>
      </w:r>
      <w:r>
        <w:tab/>
      </w:r>
      <w:r>
        <w:t>蒸发速率：无资料</w:t>
      </w:r>
    </w:p>
    <w:p>
      <w:pPr>
        <w:pStyle w:val="3"/>
        <w:spacing w:before="169"/>
      </w:pPr>
      <w:r>
        <w:rPr>
          <w:w w:val="95"/>
        </w:rPr>
        <w:t>10.稳定性和反应性</w:t>
      </w:r>
    </w:p>
    <w:p>
      <w:pPr>
        <w:pStyle w:val="3"/>
      </w:pPr>
      <w:r>
        <w:rPr>
          <w:w w:val="89"/>
        </w:rPr>
        <w:t xml:space="preserve"> </w:t>
      </w:r>
      <w:r>
        <w:rPr>
          <w:w w:val="90"/>
        </w:rPr>
        <w:t>10.1</w:t>
      </w:r>
      <w:r>
        <w:rPr>
          <w:spacing w:val="-3"/>
          <w:w w:val="90"/>
        </w:rPr>
        <w:t xml:space="preserve"> 稳定性：稳定</w:t>
      </w:r>
    </w:p>
    <w:p>
      <w:pPr>
        <w:pStyle w:val="3"/>
        <w:spacing w:before="40"/>
      </w:pPr>
      <w:r>
        <w:rPr>
          <w:w w:val="91"/>
        </w:rPr>
        <w:t xml:space="preserve"> </w:t>
      </w:r>
      <w:r>
        <w:t>10.2 危险反应：无资料</w:t>
      </w:r>
    </w:p>
    <w:p>
      <w:pPr>
        <w:pStyle w:val="3"/>
      </w:pPr>
      <w:r>
        <w:rPr>
          <w:w w:val="92"/>
        </w:rPr>
        <w:t xml:space="preserve"> </w:t>
      </w:r>
      <w:r>
        <w:rPr>
          <w:w w:val="95"/>
        </w:rPr>
        <w:t>10.3</w:t>
      </w:r>
      <w:r>
        <w:rPr>
          <w:spacing w:val="-8"/>
          <w:w w:val="95"/>
        </w:rPr>
        <w:t xml:space="preserve"> 应避免的条件：无资料</w:t>
      </w:r>
    </w:p>
    <w:p>
      <w:pPr>
        <w:pStyle w:val="3"/>
      </w:pPr>
      <w:r>
        <w:rPr>
          <w:w w:val="92"/>
        </w:rPr>
        <w:t xml:space="preserve"> </w:t>
      </w:r>
      <w:r>
        <w:rPr>
          <w:w w:val="95"/>
        </w:rPr>
        <w:t>10.4</w:t>
      </w:r>
      <w:r>
        <w:rPr>
          <w:spacing w:val="-8"/>
          <w:w w:val="95"/>
        </w:rPr>
        <w:t xml:space="preserve"> 不相容物质：强氧化剂</w:t>
      </w:r>
    </w:p>
    <w:p>
      <w:pPr>
        <w:pStyle w:val="3"/>
        <w:spacing w:before="40"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pPr>
      <w:r>
        <w:rPr>
          <w:w w:val="91"/>
        </w:rPr>
        <w:t xml:space="preserve"> </w:t>
      </w:r>
      <w:r>
        <w:t>11.1 急性毒性：无资料</w:t>
      </w:r>
    </w:p>
    <w:p>
      <w:pPr>
        <w:spacing w:after="0"/>
        <w:sectPr>
          <w:type w:val="continuous"/>
          <w:pgSz w:w="11900" w:h="16840"/>
          <w:pgMar w:top="1580" w:right="600" w:bottom="1180" w:left="620" w:header="720" w:footer="720" w:gutter="0"/>
          <w:cols w:space="720" w:num="1"/>
        </w:sectPr>
      </w:pPr>
    </w:p>
    <w:p>
      <w:pPr>
        <w:pStyle w:val="3"/>
        <w:spacing w:before="50"/>
        <w:jc w:val="both"/>
      </w:pPr>
      <w:r>
        <w:rPr>
          <w:w w:val="93"/>
        </w:rPr>
        <w:t xml:space="preserve"> </w:t>
      </w:r>
      <w:r>
        <w:rPr>
          <w:w w:val="95"/>
        </w:rPr>
        <w:t>11.2</w:t>
      </w:r>
      <w:r>
        <w:rPr>
          <w:spacing w:val="-7"/>
          <w:w w:val="95"/>
        </w:rPr>
        <w:t xml:space="preserve"> 皮肤刺激或腐蚀：无资料</w:t>
      </w:r>
    </w:p>
    <w:p>
      <w:pPr>
        <w:pStyle w:val="3"/>
        <w:jc w:val="both"/>
      </w:pPr>
      <w:r>
        <w:rPr>
          <w:w w:val="93"/>
        </w:rPr>
        <w:t xml:space="preserve"> </w:t>
      </w:r>
      <w:r>
        <w:rPr>
          <w:w w:val="95"/>
        </w:rPr>
        <w:t>11.3</w:t>
      </w:r>
      <w:r>
        <w:rPr>
          <w:spacing w:val="-7"/>
          <w:w w:val="95"/>
        </w:rPr>
        <w:t xml:space="preserve"> 眼睛刺激和腐蚀：无资料</w:t>
      </w:r>
    </w:p>
    <w:p>
      <w:pPr>
        <w:pStyle w:val="3"/>
        <w:jc w:val="both"/>
      </w:pPr>
      <w:r>
        <w:rPr>
          <w:w w:val="93"/>
        </w:rPr>
        <w:t xml:space="preserve"> </w:t>
      </w:r>
      <w:r>
        <w:rPr>
          <w:w w:val="95"/>
        </w:rPr>
        <w:t>11.4</w:t>
      </w:r>
      <w:r>
        <w:rPr>
          <w:spacing w:val="-7"/>
          <w:w w:val="95"/>
        </w:rPr>
        <w:t xml:space="preserve"> 呼吸或皮肤过敏：无资料</w:t>
      </w:r>
    </w:p>
    <w:p>
      <w:pPr>
        <w:pStyle w:val="3"/>
        <w:spacing w:before="40"/>
        <w:jc w:val="both"/>
      </w:pPr>
      <w:r>
        <w:rPr>
          <w:w w:val="93"/>
        </w:rPr>
        <w:t xml:space="preserve"> </w:t>
      </w:r>
      <w:r>
        <w:rPr>
          <w:w w:val="95"/>
        </w:rPr>
        <w:t>11.5</w:t>
      </w:r>
      <w:r>
        <w:rPr>
          <w:spacing w:val="-7"/>
          <w:w w:val="95"/>
        </w:rPr>
        <w:t xml:space="preserve"> 生殖细胞突变性：无资料</w:t>
      </w:r>
    </w:p>
    <w:p>
      <w:pPr>
        <w:pStyle w:val="3"/>
        <w:jc w:val="both"/>
      </w:pPr>
      <w:r>
        <w:rPr>
          <w:w w:val="90"/>
        </w:rPr>
        <w:t xml:space="preserve"> </w:t>
      </w:r>
      <w:r>
        <w:t>11.6 致癌性：无资料</w:t>
      </w:r>
    </w:p>
    <w:p>
      <w:pPr>
        <w:pStyle w:val="3"/>
        <w:spacing w:before="40"/>
        <w:jc w:val="both"/>
      </w:pPr>
      <w:r>
        <w:rPr>
          <w:w w:val="91"/>
        </w:rPr>
        <w:t xml:space="preserve"> </w:t>
      </w:r>
      <w:r>
        <w:t>11.7 生殖毒性：无资料</w:t>
      </w:r>
    </w:p>
    <w:p>
      <w:pPr>
        <w:pStyle w:val="3"/>
        <w:jc w:val="both"/>
      </w:pPr>
      <w:r>
        <w:rPr>
          <w:w w:val="95"/>
        </w:rPr>
        <w:t xml:space="preserve"> 11.8 特异性靶器官系统毒性（一次接触）：无资料</w:t>
      </w:r>
    </w:p>
    <w:p>
      <w:pPr>
        <w:pStyle w:val="3"/>
        <w:jc w:val="both"/>
      </w:pPr>
      <w:r>
        <w:rPr>
          <w:w w:val="95"/>
        </w:rPr>
        <w:t xml:space="preserve"> 11.9 特异性靶器官系统毒性（反复接触）：无资料</w:t>
      </w:r>
    </w:p>
    <w:p>
      <w:pPr>
        <w:pStyle w:val="3"/>
        <w:spacing w:before="40"/>
        <w:jc w:val="both"/>
      </w:pPr>
      <w:r>
        <w:rPr>
          <w:w w:val="91"/>
        </w:rPr>
        <w:t xml:space="preserve"> </w:t>
      </w:r>
      <w:r>
        <w:rPr>
          <w:w w:val="90"/>
        </w:rPr>
        <w:t>11.10 吸入危险：无资料</w:t>
      </w:r>
    </w:p>
    <w:p>
      <w:pPr>
        <w:pStyle w:val="3"/>
        <w:jc w:val="both"/>
      </w:pPr>
      <w:r>
        <w:rPr>
          <w:w w:val="91"/>
        </w:rPr>
        <w:t xml:space="preserve"> </w:t>
      </w:r>
      <w:r>
        <w:rPr>
          <w:w w:val="90"/>
        </w:rPr>
        <w:t>11.11 潜在的健康危险：</w:t>
      </w:r>
    </w:p>
    <w:p>
      <w:pPr>
        <w:pStyle w:val="3"/>
        <w:jc w:val="both"/>
      </w:pPr>
      <w:r>
        <w:rPr>
          <w:w w:val="95"/>
        </w:rPr>
        <w:t xml:space="preserve"> 吸入：无资料</w:t>
      </w:r>
    </w:p>
    <w:p>
      <w:pPr>
        <w:pStyle w:val="3"/>
        <w:spacing w:before="40"/>
        <w:jc w:val="both"/>
      </w:pPr>
      <w:r>
        <w:rPr>
          <w:w w:val="95"/>
        </w:rPr>
        <w:t xml:space="preserve"> 摄入：无资料</w:t>
      </w:r>
    </w:p>
    <w:p>
      <w:pPr>
        <w:pStyle w:val="3"/>
        <w:jc w:val="both"/>
      </w:pPr>
      <w:r>
        <w:rPr>
          <w:w w:val="95"/>
        </w:rPr>
        <w:t xml:space="preserve"> 皮肤：无资料</w:t>
      </w:r>
    </w:p>
    <w:p>
      <w:pPr>
        <w:pStyle w:val="3"/>
        <w:spacing w:before="40" w:line="220" w:lineRule="exact"/>
        <w:jc w:val="both"/>
      </w:pPr>
      <w:r>
        <w:rPr>
          <w:w w:val="95"/>
        </w:rPr>
        <w:t xml:space="preserve"> 眼睛：无资料</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rPr>
          <w:w w:val="90"/>
        </w:rPr>
        <w:t>12.生态学信息</w:t>
      </w:r>
    </w:p>
    <w:p>
      <w:pPr>
        <w:pStyle w:val="3"/>
        <w:jc w:val="both"/>
      </w:pPr>
      <w:r>
        <w:rPr>
          <w:w w:val="91"/>
        </w:rPr>
        <w:t xml:space="preserve"> </w:t>
      </w:r>
      <w:r>
        <w:t>12.1 生态毒性：无资料</w:t>
      </w:r>
    </w:p>
    <w:p>
      <w:pPr>
        <w:pStyle w:val="3"/>
        <w:jc w:val="both"/>
      </w:pPr>
      <w:r>
        <w:rPr>
          <w:w w:val="93"/>
        </w:rPr>
        <w:t xml:space="preserve"> </w:t>
      </w:r>
      <w:r>
        <w:t>12.2 持久性和降解性：无资料</w:t>
      </w:r>
    </w:p>
    <w:p>
      <w:pPr>
        <w:pStyle w:val="3"/>
        <w:spacing w:before="40"/>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before="40"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t>13.废弃处置</w:t>
      </w:r>
    </w:p>
    <w:p>
      <w:pPr>
        <w:pStyle w:val="3"/>
        <w:jc w:val="both"/>
      </w:pPr>
      <w:r>
        <w:rPr>
          <w:w w:val="97"/>
        </w:rPr>
        <w:t xml:space="preserve"> </w:t>
      </w:r>
      <w:r>
        <w:t>13.1 残余废弃物处置方法：与易燃溶剂相溶或者相混合，在备有燃烧后处理和洗刷作用的化学焚化炉中燃烧</w:t>
      </w:r>
    </w:p>
    <w:p>
      <w:pPr>
        <w:pStyle w:val="3"/>
        <w:jc w:val="both"/>
      </w:pPr>
      <w:r>
        <w:rPr>
          <w:w w:val="95"/>
        </w:rPr>
        <w:t xml:space="preserve"> </w:t>
      </w:r>
      <w:r>
        <w:t>13.2 受污染的容器和包装：按未用产品处置</w:t>
      </w:r>
    </w:p>
    <w:p>
      <w:pPr>
        <w:pStyle w:val="3"/>
        <w:spacing w:before="40"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jc w:val="both"/>
      </w:pPr>
      <w:r>
        <w:rPr>
          <w:w w:val="104"/>
        </w:rPr>
        <w:t xml:space="preserve">  </w:t>
      </w:r>
      <w:r>
        <w:rPr>
          <w:w w:val="105"/>
        </w:rPr>
        <w:t>危规号CN：NA</w:t>
      </w:r>
    </w:p>
    <w:p>
      <w:pPr>
        <w:pStyle w:val="3"/>
        <w:spacing w:before="40"/>
        <w:jc w:val="both"/>
      </w:pPr>
      <w:r>
        <w:rPr>
          <w:w w:val="98"/>
        </w:rPr>
        <w:t xml:space="preserve">  </w:t>
      </w:r>
      <w:r>
        <w:t>联合国危险货物编号：NA</w:t>
      </w:r>
    </w:p>
    <w:p>
      <w:pPr>
        <w:pStyle w:val="3"/>
        <w:jc w:val="both"/>
      </w:pPr>
      <w:r>
        <w:rPr>
          <w:w w:val="95"/>
        </w:rPr>
        <w:t xml:space="preserve">  </w:t>
      </w:r>
      <w:r>
        <w:t>联合国运输名称：非危险货物</w:t>
      </w:r>
    </w:p>
    <w:p>
      <w:pPr>
        <w:pStyle w:val="3"/>
        <w:jc w:val="both"/>
      </w:pPr>
      <w:r>
        <w:rPr>
          <w:w w:val="98"/>
        </w:rPr>
        <w:t xml:space="preserve">  </w:t>
      </w:r>
      <w:r>
        <w:t>联合国危险性分类：NA</w:t>
      </w:r>
    </w:p>
    <w:p>
      <w:pPr>
        <w:pStyle w:val="3"/>
        <w:spacing w:before="40"/>
        <w:jc w:val="both"/>
      </w:pPr>
      <w:r>
        <w:rPr>
          <w:w w:val="92"/>
        </w:rPr>
        <w:t xml:space="preserve">  </w:t>
      </w:r>
      <w:r>
        <w:t>包装组：无资料</w:t>
      </w:r>
    </w:p>
    <w:p>
      <w:pPr>
        <w:pStyle w:val="3"/>
        <w:jc w:val="both"/>
      </w:pPr>
      <w:r>
        <w:rPr>
          <w:w w:val="93"/>
        </w:rPr>
        <w:t xml:space="preserve">  </w:t>
      </w:r>
      <w:r>
        <w:t>包装方法：无资料</w:t>
      </w:r>
    </w:p>
    <w:p>
      <w:pPr>
        <w:pStyle w:val="3"/>
        <w:jc w:val="both"/>
      </w:pPr>
      <w:r>
        <w:rPr>
          <w:w w:val="93"/>
        </w:rPr>
        <w:t xml:space="preserve">  </w:t>
      </w:r>
      <w:r>
        <w:t>海洋污染物（是/否）：否</w:t>
      </w:r>
    </w:p>
    <w:p>
      <w:pPr>
        <w:pStyle w:val="3"/>
        <w:spacing w:before="40"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jc w:val="both"/>
      </w:pPr>
      <w:r>
        <w:rPr>
          <w:w w:val="90"/>
        </w:rPr>
        <w:t xml:space="preserve">        </w:t>
      </w:r>
      <w:r>
        <w:t>《易制爆危险化学品名录》（2011版）：未列入</w:t>
      </w:r>
    </w:p>
    <w:p>
      <w:pPr>
        <w:pStyle w:val="3"/>
        <w:spacing w:before="40"/>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011B1784"/>
    <w:rsid w:val="011B1784"/>
    <w:rsid w:val="16047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2023-11-02T09:39:00Z</dcterms:created>
  <dc:creator>刘文丹。</dc:creator>
  <cp:lastModifiedBy>刘文丹。</cp:lastModifiedBy>
  <dcterms:modified xsi:type="dcterms:W3CDTF">2023-11-02T09:40:05Z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EC3BC8FF6F624AA09340A48EC1457ADF_11</vt:lpwstr>
  </property>
</Properties>
</file>