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w w:val="95"/>
          <w:lang w:eastAsia="zh-CN"/>
        </w:rPr>
      </w:pPr>
      <w:bookmarkStart w:id="0" w:name="_GoBack"/>
      <w:bookmarkEnd w:id="0"/>
      <w:r>
        <w:t>丙烯酰胺英</w:t>
      </w:r>
      <w:r>
        <w:rPr>
          <w:rFonts w:hint="eastAsia"/>
          <w:lang w:eastAsia="zh-CN"/>
        </w:rPr>
        <w:t>安全说明书</w:t>
      </w:r>
    </w:p>
    <w:p>
      <w:pPr>
        <w:pStyle w:val="3"/>
        <w:spacing w:before="0" w:line="280" w:lineRule="auto"/>
        <w:ind w:right="9013"/>
      </w:pPr>
      <w:r>
        <w:rPr>
          <w:w w:val="95"/>
        </w:rPr>
        <w:t>1.化学品及企业标识</w:t>
      </w:r>
      <w:r>
        <w:t>中文名：丙烯酰胺</w:t>
      </w:r>
      <w:r>
        <w:rPr>
          <w:w w:val="95"/>
        </w:rPr>
        <w:t>英文名：Acrylamide</w:t>
      </w:r>
    </w:p>
    <w:p>
      <w:pPr>
        <w:pStyle w:val="3"/>
        <w:spacing w:before="1"/>
      </w:pPr>
      <w:r>
        <w:t>中文别名：丙烯酰胺；2-丙烯酰胺；丙烯酸酰胺</w:t>
      </w:r>
    </w:p>
    <w:p>
      <w:pPr>
        <w:pStyle w:val="3"/>
        <w:spacing w:line="280" w:lineRule="auto"/>
        <w:ind w:right="6303"/>
      </w:pPr>
      <w:r>
        <w:rPr>
          <w:w w:val="90"/>
        </w:rPr>
        <w:t xml:space="preserve">英文别名：Acrylamide;2-Propenamide;Acrylic acid </w:t>
      </w:r>
      <w:r>
        <w:rPr>
          <w:spacing w:val="-4"/>
          <w:w w:val="90"/>
        </w:rPr>
        <w:t xml:space="preserve">amide </w:t>
      </w:r>
      <w:r>
        <w:t>推荐用途：实验室用化验、试验及科学实验。</w:t>
      </w:r>
    </w:p>
    <w:p>
      <w:pPr>
        <w:pStyle w:val="3"/>
        <w:spacing w:before="0"/>
      </w:pPr>
      <w:r>
        <w:t>限制用途：不可作为药品、食品、家庭或其它用途</w:t>
      </w:r>
    </w:p>
    <w:p>
      <w:pPr>
        <w:pStyle w:val="3"/>
        <w:spacing w:before="40"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pPr>
      <w:r>
        <w:t>传真：86-021-63214037</w:t>
      </w:r>
    </w:p>
    <w:p>
      <w:pPr>
        <w:pStyle w:val="3"/>
        <w:spacing w:before="40"/>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CSDS79-06-1 丙烯酰胺</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2.危险性概述</w:t>
      </w:r>
    </w:p>
    <w:p>
      <w:pPr>
        <w:pStyle w:val="3"/>
        <w:spacing w:line="280" w:lineRule="auto"/>
        <w:ind w:right="139"/>
      </w:pPr>
      <w:r>
        <w:rPr>
          <w:w w:val="98"/>
        </w:rPr>
        <w:t xml:space="preserve"> </w:t>
      </w:r>
      <w:r>
        <w:rPr>
          <w:w w:val="95"/>
        </w:rPr>
        <w:t>2.1   紧急情况概述：白色或淡黄色结晶，无气味。吞咽会中毒。皮肤接触会中毒。造成皮肤刺激。可能导致皮肤过敏反应。造成严重</w:t>
      </w:r>
      <w:r>
        <w:t>眼刺激。吸入有害。可能导致遗传性缺陷。可能致癌。怀疑对生育能力或胎儿造成伤害。对水生生物有害。过量接触需采取特殊急救措施和进行医疗随访。用雾状水、抗溶性泡沫、二氧化碳、干粉、砂土灭火。如必要的话,戴自给式呼吸器去救火。</w:t>
      </w:r>
    </w:p>
    <w:p>
      <w:pPr>
        <w:pStyle w:val="3"/>
        <w:spacing w:before="0" w:line="280" w:lineRule="auto"/>
        <w:ind w:right="244"/>
      </w:pPr>
      <w:r>
        <w:rPr>
          <w:w w:val="98"/>
        </w:rPr>
        <w:t xml:space="preserve"> </w:t>
      </w:r>
      <w:r>
        <w:rPr>
          <w:w w:val="95"/>
        </w:rPr>
        <w:t>2.2    GHS危险性分类：急性毒性（经口）（类别3）急性毒性（吸入）（类别4）急性毒性（经皮）（类别3）皮肤刺激（类别2）眼睛</w:t>
      </w:r>
      <w:r>
        <w:t>刺激（类别2A）皮肤过敏（类别1）生殖细胞致突变性（类别1B）致癌性（类别1B）生殖毒性（类别2）急性水生毒性（类别3）</w:t>
      </w:r>
    </w:p>
    <w:p>
      <w:pPr>
        <w:pStyle w:val="3"/>
        <w:spacing w:before="1"/>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2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2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危险信息：吞咽会中毒。皮肤接触会中毒。造成皮肤刺激。可能导致皮肤过敏反应。造成严重眼刺激。吸入有害。可能导致遗传性     </w:t>
      </w:r>
      <w:r>
        <w:t>缺陷。可能致癌。怀疑对生育能力或胎儿造成伤害。对水生生物有害。</w:t>
      </w:r>
    </w:p>
    <w:p>
      <w:pPr>
        <w:pStyle w:val="3"/>
        <w:spacing w:before="0" w:line="280" w:lineRule="auto"/>
        <w:ind w:right="139"/>
        <w:jc w:val="both"/>
      </w:pPr>
      <w:r>
        <w:rPr>
          <w:w w:val="98"/>
        </w:rPr>
        <w:t xml:space="preserve"> </w:t>
      </w:r>
      <w:r>
        <w:rPr>
          <w:w w:val="95"/>
        </w:rPr>
        <w:t xml:space="preserve">预防措施：在使用前获取特别指示。在读懂所有安全防范措施之前切勿操作。避免吸入粉尘/烟/气体/烟雾/蒸气/喷雾。操作后彻底清  </w:t>
      </w:r>
      <w:r>
        <w:rPr>
          <w:spacing w:val="-1"/>
        </w:rPr>
        <w:t>洁皮肤。使用本产品时不要进食、饮水或吸烟。只能在室外或通风良好之处使用。禁止将污染的工作服带出作业场所。避免释放到环</w:t>
      </w:r>
      <w:r>
        <w:t>境中。穿戴防护手套/眼保护罩/面部保护罩。</w:t>
      </w:r>
    </w:p>
    <w:p>
      <w:pPr>
        <w:pStyle w:val="3"/>
        <w:spacing w:before="1" w:line="280" w:lineRule="auto"/>
        <w:ind w:right="139"/>
      </w:pPr>
      <w:r>
        <w:rPr>
          <w:w w:val="98"/>
        </w:rPr>
        <w:t xml:space="preserve"> </w:t>
      </w:r>
      <w:r>
        <w:rPr>
          <w:w w:val="95"/>
        </w:rPr>
        <w:t xml:space="preserve">事故响应：如果吞下去了:立即呼救解毒中心或医生。如果皮肤接触：用大量肥皂和水清洗。如吸入:将患者移到新鲜空气处休息。并   </w:t>
      </w:r>
      <w:r>
        <w:rPr>
          <w:spacing w:val="-1"/>
        </w:rPr>
        <w:t>保持呼吸舒畅的姿势。如与眼睛接触。用水缓慢温和地冲洗几分钟。如戴隐形眼镜并可方便地取出。取出隐形眼镜。然后继续冲洗。</w:t>
      </w:r>
      <w:r>
        <w:rPr>
          <w:w w:val="95"/>
        </w:rPr>
        <w:t xml:space="preserve">如接触到或有疑虑：求医/就诊。具体处置(见本标签上提供的急救指导)。漱口。如出现皮肤刺激或皮疹：求医/就诊。如仍觉眼睛刺     </w:t>
      </w:r>
      <w:r>
        <w:t>激：求医/就诊。立即除去/脱掉所有沾污的衣物。</w:t>
      </w:r>
    </w:p>
    <w:p>
      <w:pPr>
        <w:pStyle w:val="3"/>
        <w:spacing w:before="1"/>
      </w:pPr>
      <w:r>
        <w:rPr>
          <w:w w:val="99"/>
        </w:rPr>
        <w:t xml:space="preserve"> </w:t>
      </w:r>
      <w:r>
        <w:t>安全存储：存放处须加锁。储存温度不超过32℃，相对湿度不超过80%。</w:t>
      </w:r>
    </w:p>
    <w:p>
      <w:pPr>
        <w:pStyle w:val="3"/>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line="280" w:lineRule="auto"/>
        <w:ind w:right="214"/>
      </w:pPr>
      <w:r>
        <w:rPr>
          <w:w w:val="98"/>
        </w:rPr>
        <w:t xml:space="preserve"> </w:t>
      </w:r>
      <w:r>
        <w:rPr>
          <w:w w:val="95"/>
        </w:rPr>
        <w:t>2.5   健康危害：吞咽会中毒。皮肤接触会中毒。造成皮肤刺激。可能导致皮肤过敏反应。造成严重眼刺激。吸入有害。可能导致遗传</w:t>
      </w:r>
      <w:r>
        <w:t>性缺陷。可能致癌。怀疑对生育能力或胎儿造成伤害。</w:t>
      </w:r>
    </w:p>
    <w:p>
      <w:pPr>
        <w:pStyle w:val="3"/>
        <w:spacing w:before="0"/>
      </w:pPr>
      <w:r>
        <w:rPr>
          <w:w w:val="94"/>
        </w:rPr>
        <w:t xml:space="preserve"> </w:t>
      </w:r>
      <w:r>
        <w:t>2.6 环境危害：对水生生物有害。</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主要成分：丙烯酰胺</w:t>
      </w:r>
      <w:r>
        <w:tab/>
      </w:r>
      <w:r>
        <w:rPr>
          <w:w w:val="95"/>
        </w:rPr>
        <w:t>79-06-1</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7"/>
        </w:rPr>
        <w:t xml:space="preserve"> </w:t>
      </w:r>
      <w:r>
        <w:t>5.2 灭火方法或灭火剂：用雾状水、抗溶性泡沫、二氧化碳、干粉、砂土灭火。</w:t>
      </w:r>
    </w:p>
    <w:p>
      <w:pPr>
        <w:pStyle w:val="3"/>
        <w:spacing w:before="4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作业人员的防护措施、防护设备和应急处置程序：使用个人防护用品。避免吸入蒸气、烟雾或气体。保证充分的通风。移去所有</w:t>
      </w:r>
      <w:r>
        <w:t>火源。</w:t>
      </w:r>
    </w:p>
    <w:p>
      <w:pPr>
        <w:pStyle w:val="3"/>
        <w:spacing w:before="0"/>
      </w:pPr>
      <w:r>
        <w:rPr>
          <w:w w:val="97"/>
        </w:rPr>
        <w:t xml:space="preserve"> </w:t>
      </w:r>
      <w:r>
        <w:t>6.2 环境保护措施：如能确保安全，可采取措施防止进一步的泄漏或溢出。不要让产品进入下水道。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安全处置注意事项：避免接触皮肤和眼睛。防止粉尘和气溶胶生成。在有粉尘生成的地方,提供合适的排风设备。</w:t>
      </w:r>
    </w:p>
    <w:p>
      <w:pPr>
        <w:pStyle w:val="3"/>
        <w:spacing w:line="280" w:lineRule="auto"/>
        <w:ind w:right="214"/>
      </w:pPr>
      <w:r>
        <w:rPr>
          <w:w w:val="98"/>
        </w:rPr>
        <w:t xml:space="preserve"> </w:t>
      </w:r>
      <w:r>
        <w:rPr>
          <w:w w:val="95"/>
        </w:rPr>
        <w:t>7.2   安全储存注意事项：储存于阴凉、通风的库房。远离火种、热源。包装要求密封，不可与空气接触。应与氧化剂、酸类、碱类、</w:t>
      </w:r>
      <w:r>
        <w:t>食用化学品分开存放，切忌混储。不宜大量储存或久存。配备相应品种和数量的消防器材。储区应备有合适的材料收容泄漏物。</w:t>
      </w:r>
    </w:p>
    <w:p>
      <w:pPr>
        <w:pStyle w:val="3"/>
        <w:spacing w:before="0" w:line="220" w:lineRule="exact"/>
      </w:pPr>
      <w:r>
        <w:rPr>
          <w:w w:val="91"/>
        </w:rPr>
        <w:t xml:space="preserve"> </w:t>
      </w:r>
      <w:r>
        <w:t>7.3 不兼容性：酸,氧化剂,铁合铁盐,铜,黄铜,自由基产生物</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95"/>
        </w:rPr>
        <w:t xml:space="preserve"> </w:t>
      </w:r>
      <w:r>
        <w:t>PC-STEL(mg/m3)：0.9*[皮]</w:t>
      </w:r>
    </w:p>
    <w:p>
      <w:pPr>
        <w:pStyle w:val="3"/>
      </w:pPr>
      <w:r>
        <w:rPr>
          <w:w w:val="101"/>
        </w:rPr>
        <w:t xml:space="preserve"> </w:t>
      </w:r>
      <w:r>
        <w:t>TLV-TWA(mg/m3)：0.03[皮]</w:t>
      </w:r>
    </w:p>
    <w:p>
      <w:pPr>
        <w:pStyle w:val="3"/>
      </w:pPr>
      <w:r>
        <w:rPr>
          <w:w w:val="100"/>
        </w:rPr>
        <w:t xml:space="preserve"> </w:t>
      </w:r>
      <w:r>
        <w:t>PC-TWA(mg/m3)：0.3[皮]</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3"/>
        </w:rPr>
        <w:t xml:space="preserve"> </w:t>
      </w:r>
      <w:r>
        <w:t>8.2 检测方法：溶液采集--气相色谱法。</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90"/>
        </w:rPr>
        <w:t xml:space="preserve">     </w:t>
      </w:r>
      <w:r>
        <w:t>手防护：戴防毒物渗透手套。</w:t>
      </w:r>
    </w:p>
    <w:p>
      <w:pPr>
        <w:pStyle w:val="3"/>
      </w:pPr>
      <w:r>
        <w:rPr>
          <w:w w:val="95"/>
        </w:rPr>
        <w:t xml:space="preserve">     </w:t>
      </w:r>
      <w:r>
        <w:t>眼睛防护：面罩與安全眼鏡请使用经官方标准检测与批准的设备防护眼部。</w:t>
      </w:r>
    </w:p>
    <w:p>
      <w:pPr>
        <w:pStyle w:val="3"/>
        <w:spacing w:before="40"/>
      </w:pPr>
      <w:r>
        <w:rPr>
          <w:w w:val="92"/>
        </w:rPr>
        <w:t xml:space="preserve">     </w:t>
      </w:r>
      <w:r>
        <w:t>皮肤和身体防护：穿防毒物渗透工作服。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外观与性状：无色透明片状结晶，无气味，对光敏感。</w:t>
      </w:r>
      <w:r>
        <w:tab/>
      </w:r>
      <w:r>
        <w:t>气味：无气味</w:t>
      </w:r>
    </w:p>
    <w:p>
      <w:pPr>
        <w:pStyle w:val="3"/>
        <w:tabs>
          <w:tab w:val="left" w:pos="6415"/>
        </w:tabs>
        <w:spacing w:before="8"/>
        <w:ind w:left="140"/>
      </w:pPr>
      <w:r>
        <w:t>气味阈值：无资料</w:t>
      </w:r>
      <w:r>
        <w:tab/>
      </w:r>
      <w:r>
        <w:t>pH：5.0-7.0(50g/L,H2O,20℃)</w:t>
      </w:r>
    </w:p>
    <w:p>
      <w:pPr>
        <w:pStyle w:val="3"/>
        <w:tabs>
          <w:tab w:val="left" w:pos="6415"/>
        </w:tabs>
        <w:spacing w:before="47" w:line="187" w:lineRule="auto"/>
        <w:ind w:left="6416" w:right="803" w:hanging="6276"/>
      </w:pPr>
      <w:r>
        <w:rPr>
          <w:w w:val="95"/>
        </w:rPr>
        <w:t>熔点/凝固点(℃)：82-86℃</w:t>
      </w:r>
      <w:r>
        <w:rPr>
          <w:w w:val="95"/>
        </w:rPr>
        <w:tab/>
      </w:r>
      <w:r>
        <w:t>沸点、初沸点、沸程(℃)：125℃/25mmHg</w:t>
      </w:r>
      <w:r>
        <w:rPr>
          <w:spacing w:val="-17"/>
        </w:rPr>
        <w:t>、</w:t>
      </w:r>
      <w:r>
        <w:t>87℃/0.27kPa</w:t>
      </w:r>
    </w:p>
    <w:p>
      <w:pPr>
        <w:pStyle w:val="3"/>
        <w:tabs>
          <w:tab w:val="left" w:pos="6415"/>
        </w:tabs>
        <w:spacing w:before="19"/>
        <w:ind w:left="140"/>
      </w:pPr>
      <w:r>
        <w:rPr>
          <w:w w:val="95"/>
        </w:rPr>
        <w:t>密度/相对密度(水=1)：ρ(25)1.127g/mL</w:t>
      </w:r>
      <w:r>
        <w:rPr>
          <w:w w:val="95"/>
        </w:rPr>
        <w:tab/>
      </w:r>
      <w:r>
        <w:rPr>
          <w:w w:val="90"/>
        </w:rPr>
        <w:t>蒸汽密度(空气=1)：2.45</w:t>
      </w:r>
    </w:p>
    <w:p>
      <w:pPr>
        <w:pStyle w:val="3"/>
        <w:tabs>
          <w:tab w:val="left" w:pos="6415"/>
        </w:tabs>
        <w:spacing w:before="8"/>
        <w:ind w:left="140"/>
      </w:pPr>
      <w:r>
        <w:rPr>
          <w:w w:val="90"/>
        </w:rPr>
        <w:t>蒸汽压(kPa)：0.21(84.5℃)</w:t>
      </w:r>
      <w:r>
        <w:rPr>
          <w:w w:val="90"/>
        </w:rPr>
        <w:tab/>
      </w:r>
      <w:r>
        <w:rPr>
          <w:w w:val="90"/>
        </w:rP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rPr>
          <w:w w:val="95"/>
        </w:rPr>
        <w:t>辛醇/水分配系数的对数值：-0.67</w:t>
      </w:r>
      <w:r>
        <w:rPr>
          <w:w w:val="95"/>
        </w:rPr>
        <w:tab/>
      </w:r>
      <w:r>
        <w:rPr>
          <w:w w:val="95"/>
        </w:rPr>
        <w:t>闪点(℃)：无资料</w:t>
      </w:r>
    </w:p>
    <w:p>
      <w:pPr>
        <w:pStyle w:val="3"/>
        <w:tabs>
          <w:tab w:val="left" w:pos="6415"/>
        </w:tabs>
        <w:spacing w:before="8"/>
        <w:ind w:left="140"/>
      </w:pPr>
      <w:r>
        <w:t>自燃温度(℃)：424</w:t>
      </w:r>
      <w:r>
        <w:tab/>
      </w:r>
      <w:r>
        <w:rPr>
          <w:w w:val="105"/>
        </w:rPr>
        <w:t>爆炸上限%（V/V）：无资料</w:t>
      </w:r>
    </w:p>
    <w:p>
      <w:pPr>
        <w:spacing w:after="0"/>
        <w:sectPr>
          <w:pgSz w:w="11900" w:h="16840"/>
          <w:pgMar w:top="760" w:right="600" w:bottom="700" w:left="620" w:header="0" w:footer="509" w:gutter="0"/>
          <w:cols w:space="720" w:num="1"/>
        </w:sectPr>
      </w:pPr>
    </w:p>
    <w:p>
      <w:pPr>
        <w:pStyle w:val="3"/>
        <w:spacing w:before="48" w:line="187" w:lineRule="auto"/>
        <w:ind w:left="140"/>
      </w:pPr>
      <w:r>
        <w:t>溶解性：易溶于水、甲醇、乙醇和丙酮，溶于乙酸乙酯和氯仿，微溶于苯和庚烷。</w:t>
      </w:r>
    </w:p>
    <w:p>
      <w:pPr>
        <w:pStyle w:val="3"/>
        <w:spacing w:before="8"/>
        <w:ind w:left="115"/>
      </w:pPr>
      <w:r>
        <w:br w:type="column"/>
      </w:r>
      <w:r>
        <w:rPr>
          <w:w w:val="105"/>
        </w:rPr>
        <w:t>爆炸下限%（V/V）：无资料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69"/>
      </w:pPr>
      <w:r>
        <w:rPr>
          <w:w w:val="95"/>
        </w:rPr>
        <w:t>10.稳定性和反应性</w:t>
      </w:r>
    </w:p>
    <w:p>
      <w:pPr>
        <w:pStyle w:val="3"/>
      </w:pPr>
      <w:r>
        <w:rPr>
          <w:w w:val="89"/>
        </w:rPr>
        <w:t xml:space="preserve"> </w:t>
      </w:r>
      <w:r>
        <w:rPr>
          <w:w w:val="90"/>
        </w:rPr>
        <w:t>10.1</w:t>
      </w:r>
      <w:r>
        <w:rPr>
          <w:spacing w:val="-3"/>
          <w:w w:val="90"/>
        </w:rPr>
        <w:t xml:space="preserve"> 稳定性：稳定</w:t>
      </w:r>
    </w:p>
    <w:p>
      <w:pPr>
        <w:spacing w:after="0"/>
        <w:sectPr>
          <w:type w:val="continuous"/>
          <w:pgSz w:w="11900" w:h="16840"/>
          <w:pgMar w:top="1580" w:right="600" w:bottom="1180" w:left="620" w:header="720" w:footer="720" w:gutter="0"/>
          <w:cols w:space="720" w:num="1"/>
        </w:sectPr>
      </w:pPr>
    </w:p>
    <w:p>
      <w:pPr>
        <w:pStyle w:val="3"/>
        <w:spacing w:before="50"/>
      </w:pPr>
      <w:r>
        <w:rPr>
          <w:w w:val="91"/>
        </w:rPr>
        <w:t xml:space="preserve"> </w:t>
      </w:r>
      <w:r>
        <w:t>10.2 危险反应：无资料</w:t>
      </w:r>
    </w:p>
    <w:p>
      <w:pPr>
        <w:pStyle w:val="3"/>
      </w:pPr>
      <w:r>
        <w:rPr>
          <w:w w:val="93"/>
        </w:rPr>
        <w:t xml:space="preserve"> </w:t>
      </w:r>
      <w:r>
        <w:t>10.3 应避免的条件：受热、光照。</w:t>
      </w:r>
    </w:p>
    <w:p>
      <w:pPr>
        <w:pStyle w:val="3"/>
      </w:pPr>
      <w:r>
        <w:rPr>
          <w:w w:val="95"/>
        </w:rPr>
        <w:t xml:space="preserve"> </w:t>
      </w:r>
      <w:r>
        <w:t>10.4 不相容物质：强氧化剂、酸类、碱类。</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line="280" w:lineRule="auto"/>
        <w:ind w:right="131"/>
      </w:pPr>
      <w:r>
        <w:rPr>
          <w:w w:val="98"/>
        </w:rPr>
        <w:t xml:space="preserve"> </w:t>
      </w:r>
      <w:r>
        <w:rPr>
          <w:w w:val="95"/>
        </w:rPr>
        <w:t>11.1   急性毒性：属中等毒类。本品对各类动物均有不同程度的神经毒性。急性中毒主要表现中枢神经系统功能障碍，如运动失调、震</w:t>
      </w:r>
      <w:r>
        <w:t>颤、兴奋、四肢强直、痉挛，甚至死亡。</w:t>
      </w:r>
    </w:p>
    <w:p>
      <w:pPr>
        <w:pStyle w:val="3"/>
        <w:spacing w:before="1"/>
      </w:pPr>
      <w:r>
        <w:rPr>
          <w:w w:val="94"/>
        </w:rPr>
        <w:t xml:space="preserve"> </w:t>
      </w:r>
      <w:r>
        <w:t>11.2 皮肤刺激或腐蚀：皮肤-兔子-轻度的皮肤刺激-24h</w:t>
      </w:r>
    </w:p>
    <w:p>
      <w:pPr>
        <w:pStyle w:val="3"/>
      </w:pPr>
      <w:r>
        <w:rPr>
          <w:w w:val="93"/>
        </w:rPr>
        <w:t xml:space="preserve"> </w:t>
      </w:r>
      <w:r>
        <w:t>11.3 眼睛刺激和腐蚀：眼睛-兔子-眼睛刺激-24h</w:t>
      </w:r>
    </w:p>
    <w:p>
      <w:pPr>
        <w:pStyle w:val="3"/>
      </w:pPr>
      <w:r>
        <w:rPr>
          <w:w w:val="95"/>
        </w:rPr>
        <w:t xml:space="preserve"> </w:t>
      </w:r>
      <w:r>
        <w:t>11.4 呼吸或皮肤过敏：可能引起皮肤过敏性反应。</w:t>
      </w:r>
    </w:p>
    <w:p>
      <w:pPr>
        <w:pStyle w:val="3"/>
        <w:spacing w:before="40"/>
      </w:pPr>
      <w:r>
        <w:rPr>
          <w:w w:val="96"/>
        </w:rPr>
        <w:t xml:space="preserve"> </w:t>
      </w:r>
      <w:r>
        <w:t>11.5 生殖细胞突变性：可能改变遗传的物质活体试验表明有致突变效应</w:t>
      </w:r>
    </w:p>
    <w:p>
      <w:pPr>
        <w:pStyle w:val="3"/>
      </w:pPr>
      <w:r>
        <w:rPr>
          <w:w w:val="98"/>
        </w:rPr>
        <w:t xml:space="preserve"> </w:t>
      </w:r>
      <w:r>
        <w:t>11.6 致癌性：IARC致癌性评论：组2A，对人类很可能是致癌物。</w:t>
      </w:r>
    </w:p>
    <w:p>
      <w:pPr>
        <w:pStyle w:val="3"/>
        <w:spacing w:line="280" w:lineRule="auto"/>
        <w:ind w:right="221"/>
      </w:pPr>
      <w:r>
        <w:rPr>
          <w:w w:val="97"/>
        </w:rPr>
        <w:t xml:space="preserve"> </w:t>
      </w:r>
      <w:r>
        <w:t>11.7</w:t>
      </w:r>
      <w:r>
        <w:rPr>
          <w:spacing w:val="-4"/>
        </w:rPr>
        <w:t xml:space="preserve"> 生殖毒性：雌性小鼠受孕后</w:t>
      </w:r>
      <w:r>
        <w:t>6～17天经口染毒540mg/kg引发子鼠肌肉骨骼系统发育畸形。大鼠经口最低中毒剂量</w:t>
      </w:r>
      <w:r>
        <w:rPr>
          <w:w w:val="95"/>
        </w:rPr>
        <w:t>(TDL0)：200mg/kg(孕7～16天)，引起新生鼠生化和代谢改变。大鼠经口最低中毒剂量(TDL0)：544mg/kg(9</w:t>
      </w:r>
      <w:r>
        <w:rPr>
          <w:spacing w:val="-2"/>
          <w:w w:val="95"/>
        </w:rPr>
        <w:t xml:space="preserve">周,雄性)，引起精子、雄性   </w:t>
      </w:r>
      <w:r>
        <w:t>生育指数改变和植入后死亡率增加。</w:t>
      </w:r>
    </w:p>
    <w:p>
      <w:pPr>
        <w:pStyle w:val="3"/>
        <w:spacing w:before="1"/>
      </w:pPr>
      <w:r>
        <w:rPr>
          <w:w w:val="95"/>
        </w:rPr>
        <w:t xml:space="preserve"> 11.8 特异性靶器官系统毒性（一次接触）：无资料</w:t>
      </w:r>
    </w:p>
    <w:p>
      <w:pPr>
        <w:pStyle w:val="3"/>
      </w:pPr>
      <w:r>
        <w:rPr>
          <w:w w:val="95"/>
        </w:rPr>
        <w:t xml:space="preserve"> 11.9 特异性靶器官系统毒性（反复接触）：无资料</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pStyle w:val="3"/>
      </w:pPr>
      <w:r>
        <w:rPr>
          <w:w w:val="98"/>
        </w:rPr>
        <w:t xml:space="preserve"> </w:t>
      </w:r>
      <w:r>
        <w:t>吸入：吸入有害。引起呼吸道刺激。</w:t>
      </w:r>
    </w:p>
    <w:p>
      <w:pPr>
        <w:pStyle w:val="3"/>
        <w:spacing w:before="40"/>
      </w:pPr>
      <w:r>
        <w:rPr>
          <w:w w:val="96"/>
        </w:rPr>
        <w:t xml:space="preserve"> </w:t>
      </w:r>
      <w:r>
        <w:t>摄入：误吞会中毒。</w:t>
      </w:r>
    </w:p>
    <w:p>
      <w:pPr>
        <w:pStyle w:val="3"/>
      </w:pPr>
      <w:r>
        <w:rPr>
          <w:w w:val="98"/>
        </w:rPr>
        <w:t xml:space="preserve"> </w:t>
      </w:r>
      <w:r>
        <w:t>皮肤：如果被皮肤吸收会有毒性造成皮肤刺激。</w:t>
      </w:r>
    </w:p>
    <w:p>
      <w:pPr>
        <w:pStyle w:val="3"/>
        <w:spacing w:before="40" w:line="220" w:lineRule="exact"/>
      </w:pPr>
      <w:r>
        <w:rPr>
          <w:w w:val="97"/>
        </w:rPr>
        <w:t xml:space="preserve"> </w:t>
      </w:r>
      <w:r>
        <w:t>眼睛：造成严重眼刺激。</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12.生态学信息</w:t>
      </w:r>
    </w:p>
    <w:p>
      <w:pPr>
        <w:pStyle w:val="3"/>
      </w:pPr>
      <w:r>
        <w:rPr>
          <w:w w:val="94"/>
        </w:rPr>
        <w:t xml:space="preserve"> </w:t>
      </w:r>
      <w:r>
        <w:t>12.1 生态毒性：半数致死浓度LC50：130mg/l/96h(鱼)半数效应浓度EC50：105mg/l/48h(水蚤)</w:t>
      </w:r>
    </w:p>
    <w:p>
      <w:pPr>
        <w:pStyle w:val="3"/>
      </w:pPr>
      <w:r>
        <w:rPr>
          <w:w w:val="93"/>
        </w:rPr>
        <w:t xml:space="preserve"> </w:t>
      </w:r>
      <w:r>
        <w:t>12.2 持久性和降解性：无资料</w:t>
      </w:r>
    </w:p>
    <w:p>
      <w:pPr>
        <w:pStyle w:val="3"/>
        <w:spacing w:before="40"/>
      </w:pPr>
      <w:r>
        <w:rPr>
          <w:w w:val="93"/>
        </w:rPr>
        <w:t xml:space="preserve"> </w:t>
      </w:r>
      <w:r>
        <w:t>12.3 潜在的生物累积性：生物富集或生物积累性虹鳟(红鳟鱼)-72h-710μg/l生物富集因子(BCF):1.65</w:t>
      </w:r>
    </w:p>
    <w:p>
      <w:pPr>
        <w:pStyle w:val="3"/>
      </w:pPr>
      <w:r>
        <w:rPr>
          <w:w w:val="93"/>
        </w:rPr>
        <w:t xml:space="preserve"> </w:t>
      </w:r>
      <w:r>
        <w:t>12.4 土壤中的迁移性：无资料</w:t>
      </w:r>
    </w:p>
    <w:p>
      <w:pPr>
        <w:pStyle w:val="3"/>
        <w:spacing w:before="40" w:line="220" w:lineRule="exact"/>
      </w:pPr>
      <w:r>
        <w:rPr>
          <w:w w:val="97"/>
        </w:rPr>
        <w:t xml:space="preserve"> </w:t>
      </w:r>
      <w:r>
        <w:t>12.5 其它不良影响：该物质对环境可能有危害，对水体应给予特别注意。</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13.废弃处置</w:t>
      </w:r>
    </w:p>
    <w:p>
      <w:pPr>
        <w:pStyle w:val="3"/>
      </w:pPr>
      <w:r>
        <w:rPr>
          <w:w w:val="97"/>
        </w:rPr>
        <w:t xml:space="preserve"> </w:t>
      </w:r>
      <w:r>
        <w:t>13.1 残余废弃物处置方法：用焚烧法处置。焚烧炉排出的氮氧化物通过洗涤器除去。</w:t>
      </w:r>
    </w:p>
    <w:p>
      <w:pPr>
        <w:pStyle w:val="3"/>
      </w:pPr>
      <w:r>
        <w:rPr>
          <w:w w:val="95"/>
        </w:rPr>
        <w:t xml:space="preserve"> </w:t>
      </w:r>
      <w:r>
        <w:t>13.2 受污染的容器和包装：按未用产品处置</w:t>
      </w:r>
    </w:p>
    <w:p>
      <w:pPr>
        <w:pStyle w:val="3"/>
        <w:spacing w:before="40"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pPr>
      <w:r>
        <w:rPr>
          <w:w w:val="96"/>
        </w:rPr>
        <w:t xml:space="preserve">  </w:t>
      </w:r>
      <w:r>
        <w:t>危规号CN：61740</w:t>
      </w:r>
    </w:p>
    <w:p>
      <w:pPr>
        <w:pStyle w:val="3"/>
        <w:spacing w:before="40"/>
      </w:pPr>
      <w:r>
        <w:rPr>
          <w:w w:val="94"/>
        </w:rPr>
        <w:t xml:space="preserve">  </w:t>
      </w:r>
      <w:r>
        <w:t>联合国危险货物编号：2074</w:t>
      </w:r>
    </w:p>
    <w:p>
      <w:pPr>
        <w:pStyle w:val="3"/>
      </w:pPr>
      <w:r>
        <w:rPr>
          <w:w w:val="88"/>
        </w:rPr>
        <w:t xml:space="preserve">  </w:t>
      </w:r>
      <w:r>
        <w:t>联合国运输名称：Acrylamide,solid</w:t>
      </w:r>
    </w:p>
    <w:p>
      <w:pPr>
        <w:pStyle w:val="3"/>
      </w:pPr>
      <w:r>
        <w:rPr>
          <w:w w:val="91"/>
        </w:rPr>
        <w:t xml:space="preserve">  </w:t>
      </w:r>
      <w:r>
        <w:t>联合国危险性分类：6.1</w:t>
      </w:r>
    </w:p>
    <w:p>
      <w:pPr>
        <w:pStyle w:val="3"/>
        <w:spacing w:before="40"/>
      </w:pPr>
      <w:r>
        <w:rPr>
          <w:w w:val="90"/>
        </w:rPr>
        <w:t xml:space="preserve">  </w:t>
      </w:r>
      <w:r>
        <w:t>包装组：Ⅲ</w:t>
      </w:r>
    </w:p>
    <w:p>
      <w:pPr>
        <w:pStyle w:val="3"/>
      </w:pPr>
      <w:r>
        <w:rPr>
          <w:w w:val="93"/>
        </w:rPr>
        <w:t xml:space="preserve">  </w:t>
      </w:r>
      <w:r>
        <w:t>包装方法：无资料</w:t>
      </w:r>
    </w:p>
    <w:p>
      <w:pPr>
        <w:pStyle w:val="3"/>
      </w:pPr>
      <w:r>
        <w:rPr>
          <w:w w:val="93"/>
        </w:rPr>
        <w:t xml:space="preserve">  </w:t>
      </w:r>
      <w:r>
        <w:t>海洋污染物（是/否）：否</w:t>
      </w:r>
    </w:p>
    <w:p>
      <w:pPr>
        <w:pStyle w:val="3"/>
        <w:spacing w:before="40"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pPr>
      <w:r>
        <w:t>下列法律法规和标准，对化学品的安全使用、储存、运输、装卸、分类和标志等方面均作了相应的规定：</w:t>
      </w:r>
    </w:p>
    <w:p>
      <w:pPr>
        <w:pStyle w:val="3"/>
        <w:spacing w:before="40"/>
      </w:pPr>
      <w:r>
        <w:rPr>
          <w:w w:val="88"/>
        </w:rPr>
        <w:t xml:space="preserve">        </w:t>
      </w:r>
      <w:r>
        <w:t>《危险化学品名录》（2015版）：列入</w:t>
      </w:r>
    </w:p>
    <w:p>
      <w:pPr>
        <w:pStyle w:val="3"/>
      </w:pPr>
      <w:r>
        <w:rPr>
          <w:w w:val="89"/>
        </w:rPr>
        <w:t xml:space="preserve">        </w:t>
      </w:r>
      <w:r>
        <w:t>《易制毒化学品名录》（2002版）：未列入</w:t>
      </w:r>
    </w:p>
    <w:p>
      <w:pPr>
        <w:pStyle w:val="3"/>
      </w:pPr>
      <w:r>
        <w:rPr>
          <w:w w:val="90"/>
        </w:rPr>
        <w:t xml:space="preserve">        </w:t>
      </w:r>
      <w:r>
        <w:t>《易制爆危险化学品名录》（2011版）：未列入</w:t>
      </w:r>
    </w:p>
    <w:p>
      <w:pPr>
        <w:pStyle w:val="3"/>
        <w:spacing w:before="40"/>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spacing w:before="40"/>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spacing w:after="0"/>
        <w:sectPr>
          <w:pgSz w:w="11900" w:h="16840"/>
          <w:pgMar w:top="760" w:right="600" w:bottom="700" w:left="620" w:header="0" w:footer="509" w:gutter="0"/>
          <w:cols w:space="720" w:num="1"/>
        </w:sectPr>
      </w:pPr>
    </w:p>
    <w:p>
      <w:pPr>
        <w:pStyle w:val="3"/>
        <w:spacing w:before="5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49CE2A5C"/>
    <w:rsid w:val="16047413"/>
    <w:rsid w:val="49CE2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2023-11-02T09:40:00Z</dcterms:created>
  <dc:creator>刘文丹。</dc:creator>
  <cp:lastModifiedBy>刘文丹。</cp:lastModifiedBy>
  <dcterms:modified xsi:type="dcterms:W3CDTF">2023-11-02T09:40:54Z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B41E8B56B56D41F89A9D8024D1E705B9_11</vt:lpwstr>
  </property>
</Properties>
</file>